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963C9" w:rsidRDefault="00270367">
      <w:pPr>
        <w:jc w:val="center"/>
        <w:rPr>
          <w:rFonts w:ascii="Arial" w:hAnsi="Arial" w:cs="Arial"/>
          <w:b/>
          <w:bCs/>
          <w:caps/>
          <w:sz w:val="24"/>
          <w:szCs w:val="24"/>
          <w:lang w:val="ru-RU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6516370" cy="4445"/>
                <wp:effectExtent l="0" t="0" r="0" b="0"/>
                <wp:wrapNone/>
                <wp:docPr id="4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6370" cy="4445"/>
                        </a:xfrm>
                        <a:prstGeom prst="straightConnector1">
                          <a:avLst/>
                        </a:prstGeom>
                        <a:noFill/>
                        <a:ln w="284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0;margin-top:.4pt;width:513.1pt;height: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" o:allowincell="f" strokeweight=".79mm">
                <v:stroke joinstyle="miter"/>
              </v:shape>
            </w:pict>
          </mc:Fallback>
        </mc:AlternateContent>
      </w:r>
    </w:p>
    <w:p w:rsidR="00F963C9" w:rsidRDefault="00F963C9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  <w:r>
        <w:rPr>
          <w:rFonts w:ascii="Arial" w:hAnsi="Arial" w:cs="Arial"/>
          <w:b/>
          <w:bCs/>
          <w:caps/>
          <w:sz w:val="28"/>
          <w:szCs w:val="28"/>
        </w:rPr>
        <w:t>Федеральное агентство</w:t>
      </w:r>
    </w:p>
    <w:p w:rsidR="00F963C9" w:rsidRDefault="00F963C9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jc w:val="center"/>
        <w:rPr>
          <w:rFonts w:ascii="Arial" w:hAnsi="Arial" w:cs="Arial"/>
          <w:b/>
          <w:bCs/>
          <w:caps/>
          <w:sz w:val="28"/>
          <w:szCs w:val="28"/>
        </w:rPr>
      </w:pPr>
      <w:r>
        <w:rPr>
          <w:rFonts w:ascii="Arial" w:hAnsi="Arial" w:cs="Arial"/>
          <w:b/>
          <w:bCs/>
          <w:caps/>
          <w:sz w:val="28"/>
          <w:szCs w:val="28"/>
        </w:rPr>
        <w:t>по техническому регулированию и метрологии</w:t>
      </w:r>
    </w:p>
    <w:p w:rsidR="00F963C9" w:rsidRDefault="00F963C9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76"/>
        <w:gridCol w:w="4711"/>
        <w:gridCol w:w="2661"/>
      </w:tblGrid>
      <w:tr w:rsidR="00F963C9">
        <w:trPr>
          <w:jc w:val="center"/>
        </w:trPr>
        <w:tc>
          <w:tcPr>
            <w:tcW w:w="2376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:rsidR="00F963C9" w:rsidRDefault="00270367">
            <w:pPr>
              <w:jc w:val="center"/>
              <w:rPr>
                <w:rFonts w:ascii="Arial" w:hAnsi="Arial" w:cs="Arial"/>
                <w:b/>
                <w:bCs/>
                <w:spacing w:val="4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85800" cy="6705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4" t="19478" r="75021" b="633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70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1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:rsidR="00F963C9" w:rsidRDefault="00F963C9">
            <w:pPr>
              <w:snapToGrid w:val="0"/>
              <w:jc w:val="center"/>
              <w:rPr>
                <w:rFonts w:ascii="Arial" w:hAnsi="Arial" w:cs="Arial"/>
                <w:b/>
                <w:bCs/>
                <w:spacing w:val="40"/>
                <w:sz w:val="28"/>
                <w:szCs w:val="28"/>
              </w:rPr>
            </w:pPr>
          </w:p>
          <w:p w:rsidR="00F963C9" w:rsidRDefault="00F963C9">
            <w:pPr>
              <w:jc w:val="center"/>
              <w:rPr>
                <w:rFonts w:ascii="Arial" w:hAnsi="Arial" w:cs="Arial"/>
                <w:b/>
                <w:bCs/>
                <w:spacing w:val="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pacing w:val="40"/>
                <w:sz w:val="28"/>
                <w:szCs w:val="28"/>
              </w:rPr>
              <w:t>НАЦИОНАЛЬНЫЙ</w:t>
            </w:r>
          </w:p>
          <w:p w:rsidR="00F963C9" w:rsidRDefault="00F963C9">
            <w:pPr>
              <w:jc w:val="center"/>
              <w:rPr>
                <w:rFonts w:ascii="Arial" w:hAnsi="Arial" w:cs="Arial"/>
                <w:b/>
                <w:bCs/>
                <w:spacing w:val="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pacing w:val="40"/>
                <w:sz w:val="28"/>
                <w:szCs w:val="28"/>
              </w:rPr>
              <w:t>СТАНДАРТ</w:t>
            </w:r>
          </w:p>
          <w:p w:rsidR="00F963C9" w:rsidRDefault="00F963C9">
            <w:pPr>
              <w:jc w:val="center"/>
              <w:rPr>
                <w:rFonts w:ascii="Arial" w:hAnsi="Arial" w:cs="Arial"/>
                <w:b/>
                <w:bCs/>
                <w:spacing w:val="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pacing w:val="40"/>
                <w:sz w:val="28"/>
                <w:szCs w:val="28"/>
              </w:rPr>
              <w:t>РОССИЙСКОЙ</w:t>
            </w:r>
          </w:p>
          <w:p w:rsidR="00F963C9" w:rsidRDefault="00F963C9">
            <w:pPr>
              <w:jc w:val="center"/>
              <w:rPr>
                <w:rFonts w:ascii="Arial" w:hAnsi="Arial" w:cs="Arial"/>
                <w:b/>
                <w:bCs/>
                <w:spacing w:val="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pacing w:val="40"/>
                <w:sz w:val="28"/>
                <w:szCs w:val="28"/>
              </w:rPr>
              <w:t>ФЕДЕРАЦИИ</w:t>
            </w:r>
          </w:p>
          <w:p w:rsidR="00F963C9" w:rsidRDefault="00F963C9">
            <w:pPr>
              <w:jc w:val="center"/>
              <w:rPr>
                <w:rFonts w:ascii="Arial" w:hAnsi="Arial" w:cs="Arial"/>
                <w:b/>
                <w:bCs/>
                <w:spacing w:val="40"/>
                <w:sz w:val="28"/>
                <w:szCs w:val="28"/>
              </w:rPr>
            </w:pPr>
          </w:p>
        </w:tc>
        <w:tc>
          <w:tcPr>
            <w:tcW w:w="2661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:rsidR="00F963C9" w:rsidRDefault="00F963C9">
            <w:pPr>
              <w:jc w:val="center"/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ГОСТ Р</w:t>
            </w:r>
          </w:p>
        </w:tc>
      </w:tr>
    </w:tbl>
    <w:p w:rsidR="00F963C9" w:rsidRDefault="00F963C9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F963C9" w:rsidRDefault="00F963C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F963C9" w:rsidRDefault="00F963C9">
      <w:pPr>
        <w:jc w:val="center"/>
        <w:rPr>
          <w:rFonts w:ascii="Arial" w:hAnsi="Arial" w:cs="Arial"/>
          <w:b/>
          <w:smallCaps/>
          <w:sz w:val="28"/>
          <w:szCs w:val="28"/>
        </w:rPr>
      </w:pPr>
      <w:r>
        <w:rPr>
          <w:rFonts w:ascii="Arial" w:hAnsi="Arial" w:cs="Arial"/>
          <w:b/>
          <w:caps/>
          <w:sz w:val="28"/>
          <w:szCs w:val="28"/>
        </w:rPr>
        <w:t xml:space="preserve">СУДЕБНая </w:t>
      </w:r>
      <w:r w:rsidR="0030393D">
        <w:rPr>
          <w:rFonts w:ascii="Arial" w:hAnsi="Arial" w:cs="Arial"/>
          <w:b/>
          <w:caps/>
          <w:sz w:val="28"/>
          <w:szCs w:val="28"/>
        </w:rPr>
        <w:t>землеустроительная</w:t>
      </w:r>
      <w:r>
        <w:rPr>
          <w:rFonts w:ascii="Arial" w:hAnsi="Arial" w:cs="Arial"/>
          <w:b/>
          <w:caps/>
          <w:sz w:val="28"/>
          <w:szCs w:val="28"/>
        </w:rPr>
        <w:t xml:space="preserve"> ЭКСПЕРТИЗА</w:t>
      </w:r>
    </w:p>
    <w:p w:rsidR="00F963C9" w:rsidRDefault="00F963C9">
      <w:pPr>
        <w:jc w:val="center"/>
        <w:rPr>
          <w:rFonts w:ascii="Arial" w:hAnsi="Arial" w:cs="Arial"/>
          <w:b/>
          <w:smallCaps/>
          <w:sz w:val="28"/>
          <w:szCs w:val="28"/>
        </w:rPr>
      </w:pPr>
    </w:p>
    <w:p w:rsidR="00F963C9" w:rsidRDefault="00F963C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Термины и определения</w:t>
      </w:r>
    </w:p>
    <w:p w:rsidR="00F963C9" w:rsidRDefault="00F963C9">
      <w:pPr>
        <w:jc w:val="center"/>
        <w:rPr>
          <w:rFonts w:ascii="Arial" w:hAnsi="Arial" w:cs="Arial"/>
          <w:b/>
          <w:sz w:val="28"/>
          <w:szCs w:val="28"/>
        </w:rPr>
      </w:pPr>
    </w:p>
    <w:p w:rsidR="00F963C9" w:rsidRDefault="00F963C9">
      <w:pPr>
        <w:jc w:val="center"/>
        <w:rPr>
          <w:rFonts w:ascii="Arial" w:hAnsi="Arial" w:cs="Arial"/>
          <w:b/>
          <w:sz w:val="24"/>
          <w:szCs w:val="24"/>
        </w:rPr>
      </w:pPr>
    </w:p>
    <w:p w:rsidR="00F963C9" w:rsidRPr="00B06289" w:rsidRDefault="00F963C9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F963C9" w:rsidRPr="00B06289" w:rsidRDefault="00F963C9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F963C9" w:rsidRPr="00B06289" w:rsidRDefault="00F963C9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F963C9" w:rsidRPr="00B06289" w:rsidRDefault="00F963C9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F963C9" w:rsidRPr="00B06289" w:rsidRDefault="00F963C9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F963C9" w:rsidRPr="00B06289" w:rsidRDefault="00F963C9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F963C9" w:rsidRDefault="00F963C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Издание официальное</w:t>
      </w:r>
    </w:p>
    <w:p w:rsidR="00F963C9" w:rsidRDefault="00F963C9">
      <w:pPr>
        <w:jc w:val="center"/>
        <w:rPr>
          <w:rFonts w:ascii="Arial" w:hAnsi="Arial" w:cs="Arial"/>
          <w:b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b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p w:rsidR="00F963C9" w:rsidRDefault="00F963C9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2"/>
        <w:gridCol w:w="5047"/>
        <w:gridCol w:w="2377"/>
      </w:tblGrid>
      <w:tr w:rsidR="00F963C9">
        <w:tc>
          <w:tcPr>
            <w:tcW w:w="2432" w:type="dxa"/>
            <w:shd w:val="clear" w:color="auto" w:fill="auto"/>
          </w:tcPr>
          <w:p w:rsidR="00F963C9" w:rsidRDefault="00F963C9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7" w:type="dxa"/>
            <w:shd w:val="clear" w:color="auto" w:fill="auto"/>
          </w:tcPr>
          <w:p w:rsidR="00F963C9" w:rsidRDefault="00F963C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Москва</w:t>
            </w:r>
          </w:p>
          <w:p w:rsidR="00F963C9" w:rsidRDefault="00F963C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Российский институт стандартизации</w:t>
            </w:r>
          </w:p>
          <w:p w:rsidR="00F963C9" w:rsidRDefault="00F963C9">
            <w:pPr>
              <w:snapToGrid w:val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202</w:t>
            </w:r>
          </w:p>
        </w:tc>
        <w:tc>
          <w:tcPr>
            <w:tcW w:w="2377" w:type="dxa"/>
            <w:shd w:val="clear" w:color="auto" w:fill="auto"/>
          </w:tcPr>
          <w:p w:rsidR="00F963C9" w:rsidRDefault="00F963C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963C9" w:rsidRDefault="00F963C9">
      <w:pPr>
        <w:pageBreakBefore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lastRenderedPageBreak/>
        <w:t>Предисловие</w:t>
      </w:r>
    </w:p>
    <w:p w:rsidR="00F963C9" w:rsidRDefault="00F963C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963C9" w:rsidRDefault="00F963C9">
      <w:pPr>
        <w:pStyle w:val="af1"/>
        <w:spacing w:after="0" w:line="240" w:lineRule="auto"/>
        <w:ind w:left="0" w:firstLine="85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1 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РАЗРАБОТАН Федеральным бюджетным учреждением Российский 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федеральный центр судебной экспертизы имени профессора А.Р. Шляхова при Министерстве юстиции Российской 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Федерации, 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Федеральным бюджетным учреждением </w:t>
      </w:r>
      <w:r w:rsidR="00656C38">
        <w:rPr>
          <w:rFonts w:ascii="Arial" w:hAnsi="Arial" w:cs="Arial"/>
          <w:color w:val="000000"/>
          <w:spacing w:val="-5"/>
          <w:sz w:val="24"/>
          <w:szCs w:val="24"/>
        </w:rPr>
        <w:t>Воронежский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региональный центр 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судебной экспертизы Министерства юстиции Российской 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Федерации, </w:t>
      </w:r>
      <w:bookmarkStart w:id="0" w:name="_Hlk224862604"/>
      <w:r>
        <w:rPr>
          <w:rFonts w:ascii="Arial" w:hAnsi="Arial" w:cs="Arial"/>
          <w:color w:val="000000"/>
          <w:spacing w:val="-5"/>
          <w:sz w:val="24"/>
          <w:szCs w:val="24"/>
        </w:rPr>
        <w:t xml:space="preserve">Федеральным бюджетным учреждением </w:t>
      </w:r>
      <w:r w:rsidR="00656C38">
        <w:rPr>
          <w:rFonts w:ascii="Arial" w:hAnsi="Arial" w:cs="Arial"/>
          <w:color w:val="000000"/>
          <w:spacing w:val="-5"/>
          <w:sz w:val="24"/>
          <w:szCs w:val="24"/>
        </w:rPr>
        <w:t>Южный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региональный центр 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судебной экспертизы Министерства юстиции Российской 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Федерации, </w:t>
      </w:r>
      <w:r w:rsidR="00656C38" w:rsidRPr="00656C38">
        <w:rPr>
          <w:rFonts w:ascii="Arial" w:hAnsi="Arial" w:cs="Arial"/>
          <w:color w:val="000000"/>
          <w:spacing w:val="-1"/>
          <w:sz w:val="24"/>
          <w:szCs w:val="24"/>
        </w:rPr>
        <w:t xml:space="preserve">Федеральным бюджетным учреждением </w:t>
      </w:r>
      <w:r w:rsidR="00656C38">
        <w:rPr>
          <w:rFonts w:ascii="Arial" w:hAnsi="Arial" w:cs="Arial"/>
          <w:color w:val="000000"/>
          <w:spacing w:val="-1"/>
          <w:sz w:val="24"/>
          <w:szCs w:val="24"/>
        </w:rPr>
        <w:t>Северо-Западный</w:t>
      </w:r>
      <w:r w:rsidR="00656C38" w:rsidRPr="00656C38">
        <w:rPr>
          <w:rFonts w:ascii="Arial" w:hAnsi="Arial" w:cs="Arial"/>
          <w:color w:val="000000"/>
          <w:spacing w:val="-1"/>
          <w:sz w:val="24"/>
          <w:szCs w:val="24"/>
        </w:rPr>
        <w:t xml:space="preserve"> региональный центр судебной экспертизы Министерства юстиции Российской Федерации</w:t>
      </w:r>
    </w:p>
    <w:bookmarkEnd w:id="0"/>
    <w:p w:rsidR="00F963C9" w:rsidRDefault="00F963C9">
      <w:pPr>
        <w:pStyle w:val="af1"/>
        <w:spacing w:after="0" w:line="240" w:lineRule="auto"/>
        <w:ind w:left="0" w:firstLine="851"/>
        <w:jc w:val="both"/>
        <w:rPr>
          <w:rFonts w:ascii="Arial" w:hAnsi="Arial" w:cs="Arial"/>
          <w:bCs/>
          <w:sz w:val="24"/>
          <w:szCs w:val="24"/>
        </w:rPr>
      </w:pPr>
    </w:p>
    <w:p w:rsidR="00F963C9" w:rsidRDefault="00F963C9">
      <w:pPr>
        <w:pStyle w:val="14"/>
        <w:spacing w:after="0" w:line="240" w:lineRule="auto"/>
        <w:ind w:left="0" w:firstLine="85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 ВНЕСЕН Техническим комитетом </w:t>
      </w:r>
      <w:r>
        <w:rPr>
          <w:rFonts w:ascii="Arial" w:hAnsi="Arial" w:cs="Arial"/>
          <w:sz w:val="24"/>
          <w:szCs w:val="24"/>
        </w:rPr>
        <w:t xml:space="preserve">по стандартизации </w:t>
      </w:r>
      <w:r>
        <w:rPr>
          <w:rFonts w:ascii="Arial" w:hAnsi="Arial" w:cs="Arial"/>
          <w:bCs/>
          <w:sz w:val="24"/>
          <w:szCs w:val="24"/>
        </w:rPr>
        <w:t>ТК 134 «Судебная экспертиза»</w:t>
      </w:r>
    </w:p>
    <w:p w:rsidR="00F963C9" w:rsidRDefault="00F963C9">
      <w:pPr>
        <w:pStyle w:val="14"/>
        <w:spacing w:after="0" w:line="240" w:lineRule="auto"/>
        <w:ind w:left="0" w:firstLine="851"/>
        <w:jc w:val="both"/>
        <w:rPr>
          <w:rFonts w:ascii="Arial" w:hAnsi="Arial" w:cs="Arial"/>
          <w:bCs/>
          <w:sz w:val="24"/>
          <w:szCs w:val="24"/>
        </w:rPr>
      </w:pPr>
    </w:p>
    <w:p w:rsidR="00F963C9" w:rsidRDefault="00F963C9">
      <w:pPr>
        <w:pStyle w:val="ConsPlusNormal"/>
        <w:ind w:firstLine="851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3 УТВЕРЖДЕН И ВВЕДЕН В ДЕЙСТВИЕ </w:t>
      </w:r>
      <w:r>
        <w:rPr>
          <w:sz w:val="24"/>
          <w:szCs w:val="24"/>
        </w:rPr>
        <w:t>Приказом Федерального агентства по техническому регулированию и метрологии от ___ ______ 202</w:t>
      </w:r>
      <w:r w:rsidR="0057658A">
        <w:rPr>
          <w:sz w:val="24"/>
          <w:szCs w:val="24"/>
        </w:rPr>
        <w:t>6</w:t>
      </w:r>
      <w:r>
        <w:rPr>
          <w:sz w:val="24"/>
          <w:szCs w:val="24"/>
        </w:rPr>
        <w:t xml:space="preserve"> г. №     -ст</w:t>
      </w:r>
    </w:p>
    <w:p w:rsidR="00F963C9" w:rsidRDefault="00F963C9">
      <w:pPr>
        <w:pStyle w:val="ConsPlusNormal"/>
        <w:ind w:firstLine="851"/>
        <w:jc w:val="both"/>
        <w:rPr>
          <w:sz w:val="24"/>
          <w:szCs w:val="24"/>
        </w:rPr>
      </w:pPr>
    </w:p>
    <w:p w:rsidR="00F963C9" w:rsidRDefault="00F963C9">
      <w:pPr>
        <w:pStyle w:val="ConsPlusNormal"/>
        <w:ind w:firstLine="851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4 ВВЕДЕН ВПЕРВЫЕ</w:t>
      </w:r>
    </w:p>
    <w:p w:rsidR="00F963C9" w:rsidRDefault="00F963C9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F963C9" w:rsidRDefault="00F963C9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Правила применения настоящего стандарта установлены в статье 26 Федерального закона от 29 июня 2015 г. № 162-ФЗ «О стандартизации в Российской Федерации». Информация об изменениях к настоящему стандарту публикуется в ежегодном (по состоянию на 1 января текущего года) информационном указателе «Национальные стандарты», а официальный текст изменений и поправок – в    ежемесячном информационном указателе «Национальные стандарты». В случае пересмотра (замены) или отмены настоящего стандарта соответствующее     уведомление будет опубликовано в ближайшем выпуске ежемесячного информационного указателя «Национальные стандарты». Соответствующая информация, уведомление и тексты размещаются также в информационной системе общего пользования – на официальном сайте Федерального агентства по техническому   регулированию и метрологии в сети Интернет (</w:t>
      </w:r>
      <w:hyperlink r:id="rId9" w:history="1">
        <w:r>
          <w:rPr>
            <w:rStyle w:val="a9"/>
            <w:rFonts w:ascii="Arial" w:hAnsi="Arial" w:cs="Arial"/>
            <w:i/>
            <w:sz w:val="24"/>
            <w:szCs w:val="24"/>
            <w:lang w:val="en-US"/>
          </w:rPr>
          <w:t>www</w:t>
        </w:r>
        <w:r>
          <w:rPr>
            <w:rStyle w:val="a9"/>
            <w:rFonts w:ascii="Arial" w:hAnsi="Arial" w:cs="Arial"/>
            <w:i/>
            <w:sz w:val="24"/>
            <w:szCs w:val="24"/>
          </w:rPr>
          <w:t>.</w:t>
        </w:r>
        <w:r>
          <w:rPr>
            <w:rStyle w:val="a9"/>
            <w:rFonts w:ascii="Arial" w:hAnsi="Arial" w:cs="Arial"/>
            <w:i/>
            <w:sz w:val="24"/>
            <w:szCs w:val="24"/>
            <w:lang w:val="en-US"/>
          </w:rPr>
          <w:t>rst</w:t>
        </w:r>
        <w:r>
          <w:rPr>
            <w:rStyle w:val="a9"/>
            <w:rFonts w:ascii="Arial" w:hAnsi="Arial" w:cs="Arial"/>
            <w:i/>
            <w:sz w:val="24"/>
            <w:szCs w:val="24"/>
          </w:rPr>
          <w:t>.go</w:t>
        </w:r>
        <w:r>
          <w:rPr>
            <w:rStyle w:val="a9"/>
            <w:rFonts w:ascii="Arial" w:hAnsi="Arial" w:cs="Arial"/>
            <w:i/>
            <w:sz w:val="24"/>
            <w:szCs w:val="24"/>
            <w:lang w:val="en-US"/>
          </w:rPr>
          <w:t>v</w:t>
        </w:r>
        <w:r>
          <w:rPr>
            <w:rStyle w:val="a9"/>
            <w:rFonts w:ascii="Arial" w:hAnsi="Arial" w:cs="Arial"/>
            <w:i/>
            <w:sz w:val="24"/>
            <w:szCs w:val="24"/>
          </w:rPr>
          <w:t>.ru</w:t>
        </w:r>
      </w:hyperlink>
      <w:r>
        <w:rPr>
          <w:rFonts w:ascii="Arial" w:hAnsi="Arial" w:cs="Arial"/>
          <w:i/>
          <w:sz w:val="24"/>
          <w:szCs w:val="24"/>
        </w:rPr>
        <w:t>)</w:t>
      </w:r>
    </w:p>
    <w:p w:rsidR="00F963C9" w:rsidRDefault="00F963C9">
      <w:pPr>
        <w:pStyle w:val="af0"/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© Оформление. ФГБУ «Институт стандартизации», 202</w:t>
      </w:r>
      <w:r w:rsidR="0057658A">
        <w:rPr>
          <w:rFonts w:ascii="Arial" w:hAnsi="Arial" w:cs="Arial"/>
          <w:sz w:val="24"/>
          <w:szCs w:val="24"/>
        </w:rPr>
        <w:t>6</w:t>
      </w:r>
    </w:p>
    <w:p w:rsidR="00F963C9" w:rsidRDefault="00F963C9">
      <w:pPr>
        <w:pStyle w:val="af0"/>
        <w:spacing w:after="0"/>
        <w:jc w:val="right"/>
        <w:rPr>
          <w:rFonts w:ascii="Arial" w:hAnsi="Arial" w:cs="Arial"/>
          <w:sz w:val="24"/>
          <w:szCs w:val="24"/>
        </w:rPr>
      </w:pPr>
    </w:p>
    <w:p w:rsidR="00F963C9" w:rsidRDefault="00F963C9">
      <w:pPr>
        <w:pStyle w:val="ConsPlusNormal"/>
        <w:spacing w:after="120"/>
        <w:ind w:firstLine="567"/>
        <w:jc w:val="both"/>
        <w:rPr>
          <w:b/>
          <w:sz w:val="28"/>
          <w:szCs w:val="24"/>
        </w:rPr>
      </w:pPr>
      <w:r>
        <w:rPr>
          <w:rFonts w:eastAsia="MS Mincho"/>
          <w:sz w:val="24"/>
          <w:szCs w:val="24"/>
          <w:lang w:eastAsia="ja-JP"/>
        </w:rPr>
        <w:tab/>
        <w:t xml:space="preserve">Настоящий стандарт не может быть полностью или частично воспроизведен, тиражирован и распространен в качестве официального издания без разрешения </w:t>
      </w:r>
      <w:r>
        <w:rPr>
          <w:sz w:val="24"/>
          <w:szCs w:val="24"/>
        </w:rPr>
        <w:t>Федерального агентства по техническому регулированию и метрологии</w:t>
      </w:r>
    </w:p>
    <w:p w:rsidR="00F963C9" w:rsidRDefault="00F963C9">
      <w:pPr>
        <w:pageBreakBefore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4"/>
        </w:rPr>
        <w:lastRenderedPageBreak/>
        <w:t>Содержание</w:t>
      </w:r>
    </w:p>
    <w:p w:rsidR="00F963C9" w:rsidRDefault="00F963C9">
      <w:pPr>
        <w:rPr>
          <w:rFonts w:ascii="Arial" w:hAnsi="Arial" w:cs="Arial"/>
          <w:b/>
          <w:sz w:val="24"/>
          <w:szCs w:val="24"/>
        </w:rPr>
      </w:pPr>
    </w:p>
    <w:p w:rsidR="00F963C9" w:rsidRPr="00D05D2B" w:rsidRDefault="00F963C9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ab/>
        <w:t>Область применения………………………………………………………………………….</w:t>
      </w:r>
      <w:r w:rsidR="00D05D2B" w:rsidRPr="00D05D2B">
        <w:rPr>
          <w:rFonts w:ascii="Arial" w:hAnsi="Arial" w:cs="Arial"/>
          <w:sz w:val="24"/>
          <w:szCs w:val="24"/>
        </w:rPr>
        <w:t>5</w:t>
      </w:r>
    </w:p>
    <w:p w:rsidR="00F963C9" w:rsidRDefault="00F963C9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ab/>
        <w:t>Термины и определения………………………………………………………….................</w:t>
      </w:r>
      <w:r w:rsidR="00D05D2B">
        <w:rPr>
          <w:rFonts w:ascii="Arial" w:hAnsi="Arial" w:cs="Arial"/>
          <w:sz w:val="24"/>
          <w:szCs w:val="24"/>
        </w:rPr>
        <w:t>5</w:t>
      </w:r>
    </w:p>
    <w:p w:rsidR="00F963C9" w:rsidRDefault="00F963C9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Алфавитный указатель терминов на русском языке………………………………………</w:t>
      </w:r>
      <w:r w:rsidR="007B3085">
        <w:rPr>
          <w:rFonts w:ascii="Arial" w:hAnsi="Arial" w:cs="Arial"/>
          <w:sz w:val="24"/>
          <w:szCs w:val="24"/>
        </w:rPr>
        <w:t>12</w:t>
      </w:r>
    </w:p>
    <w:p w:rsidR="00F963C9" w:rsidRDefault="00F963C9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Алфавитный указатель эквивалентов терминов</w:t>
      </w:r>
      <w:r w:rsidR="007B308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на английском языке……</w:t>
      </w:r>
      <w:r w:rsidR="007B3085">
        <w:rPr>
          <w:rFonts w:ascii="Arial" w:hAnsi="Arial" w:cs="Arial"/>
          <w:sz w:val="24"/>
          <w:szCs w:val="24"/>
        </w:rPr>
        <w:t>……………………………………………………………</w:t>
      </w:r>
      <w:r>
        <w:rPr>
          <w:rFonts w:ascii="Arial" w:hAnsi="Arial" w:cs="Arial"/>
          <w:sz w:val="24"/>
          <w:szCs w:val="24"/>
        </w:rPr>
        <w:t>………...</w:t>
      </w:r>
      <w:r w:rsidR="007B3085">
        <w:rPr>
          <w:rFonts w:ascii="Arial" w:hAnsi="Arial" w:cs="Arial"/>
          <w:sz w:val="24"/>
          <w:szCs w:val="24"/>
        </w:rPr>
        <w:t>14</w:t>
      </w:r>
    </w:p>
    <w:p w:rsidR="00F963C9" w:rsidRDefault="00F963C9">
      <w:pPr>
        <w:rPr>
          <w:rFonts w:ascii="Arial" w:hAnsi="Arial" w:cs="Arial"/>
          <w:sz w:val="24"/>
          <w:szCs w:val="24"/>
        </w:rPr>
      </w:pPr>
    </w:p>
    <w:p w:rsidR="00F963C9" w:rsidRDefault="00F963C9">
      <w:pPr>
        <w:pageBreakBefore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4"/>
        </w:rPr>
        <w:lastRenderedPageBreak/>
        <w:t>Введение</w:t>
      </w:r>
    </w:p>
    <w:p w:rsidR="00F963C9" w:rsidRDefault="00F963C9">
      <w:pPr>
        <w:jc w:val="center"/>
        <w:rPr>
          <w:rFonts w:ascii="Arial" w:hAnsi="Arial" w:cs="Arial"/>
          <w:b/>
          <w:sz w:val="24"/>
          <w:szCs w:val="24"/>
        </w:rPr>
      </w:pPr>
    </w:p>
    <w:p w:rsidR="00F963C9" w:rsidRDefault="00F963C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Установленные в настоящем стандарте термины расположены в систематизироованном порядке, отражающем систему понятий судебной </w:t>
      </w:r>
      <w:r w:rsidR="002D6D4F">
        <w:rPr>
          <w:rFonts w:ascii="Arial" w:hAnsi="Arial" w:cs="Arial"/>
          <w:sz w:val="24"/>
          <w:szCs w:val="24"/>
        </w:rPr>
        <w:t>землеустроительной</w:t>
      </w:r>
      <w:r>
        <w:rPr>
          <w:rFonts w:ascii="Arial" w:hAnsi="Arial" w:cs="Arial"/>
          <w:sz w:val="24"/>
          <w:szCs w:val="24"/>
        </w:rPr>
        <w:t xml:space="preserve"> экспертизы.</w:t>
      </w:r>
    </w:p>
    <w:p w:rsidR="00F963C9" w:rsidRDefault="00F963C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каждого понятия установлен один стандартизованный термин.</w:t>
      </w:r>
    </w:p>
    <w:p w:rsidR="00F963C9" w:rsidRDefault="00F963C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алфавитном указателе данные термины приведены отдельно с указанием номера статьи.</w:t>
      </w:r>
    </w:p>
    <w:p w:rsidR="00F963C9" w:rsidRDefault="00F963C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Приведенные определения можно, при необходимости, изменять, вводя в них производные признаки, раскрывая значения используемых в них терминов, указывая объекты, входящие в объем определяемого понятия. Изменения не должны нарушать объем и содержание понятий, определенных в настоящем стандарте.</w:t>
      </w:r>
    </w:p>
    <w:p w:rsidR="00F963C9" w:rsidRDefault="00F963C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стандарте приведены иноязычные эквиваленты стандартизированных терминов на английском языке.</w:t>
      </w:r>
    </w:p>
    <w:p w:rsidR="00F963C9" w:rsidRDefault="00F963C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Стандартизованные термины набраны полужирным шрифтом.</w:t>
      </w:r>
    </w:p>
    <w:p w:rsidR="00F963C9" w:rsidRDefault="00F963C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963C9" w:rsidRDefault="00F963C9">
      <w:pPr>
        <w:sectPr w:rsidR="00F963C9" w:rsidSect="00FF761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021" w:right="851" w:bottom="1021" w:left="1418" w:header="720" w:footer="720" w:gutter="0"/>
          <w:pgNumType w:fmt="upperRoman"/>
          <w:cols w:space="720"/>
          <w:titlePg/>
          <w:docGrid w:linePitch="272"/>
        </w:sectPr>
      </w:pPr>
    </w:p>
    <w:p w:rsidR="009F269D" w:rsidRDefault="009F269D" w:rsidP="009F269D">
      <w:pPr>
        <w:jc w:val="center"/>
        <w:rPr>
          <w:rFonts w:ascii="Arial" w:hAnsi="Arial" w:cs="Arial"/>
          <w:b/>
          <w:caps/>
          <w:sz w:val="28"/>
          <w:szCs w:val="28"/>
        </w:rPr>
      </w:pPr>
      <w:r>
        <w:rPr>
          <w:rFonts w:ascii="Arial" w:hAnsi="Arial" w:cs="Arial"/>
          <w:b/>
          <w:bCs/>
          <w:spacing w:val="20"/>
          <w:sz w:val="28"/>
          <w:szCs w:val="24"/>
          <w:lang w:val="en-US"/>
        </w:rPr>
        <w:lastRenderedPageBreak/>
        <w:t>НАЦИОНАЛЬНЫЙ СТАНДАРТ РОССИЙСКОЙ ФЕДЕРАЦИИ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56"/>
      </w:tblGrid>
      <w:tr w:rsidR="009F269D" w:rsidTr="009F269D">
        <w:tc>
          <w:tcPr>
            <w:tcW w:w="985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9F269D" w:rsidRDefault="009F269D">
            <w:pPr>
              <w:snapToGrid w:val="0"/>
              <w:jc w:val="center"/>
              <w:rPr>
                <w:rFonts w:ascii="Arial" w:hAnsi="Arial" w:cs="Arial"/>
                <w:b/>
                <w:caps/>
                <w:sz w:val="28"/>
                <w:szCs w:val="28"/>
              </w:rPr>
            </w:pPr>
          </w:p>
          <w:p w:rsidR="009F269D" w:rsidRDefault="009F269D">
            <w:pPr>
              <w:jc w:val="center"/>
              <w:rPr>
                <w:rFonts w:ascii="Arial" w:hAnsi="Arial" w:cs="Arial"/>
                <w:b/>
                <w:smallCaps/>
                <w:sz w:val="28"/>
                <w:szCs w:val="28"/>
              </w:rPr>
            </w:pPr>
            <w:r>
              <w:rPr>
                <w:rFonts w:ascii="Arial" w:hAnsi="Arial" w:cs="Arial"/>
                <w:b/>
                <w:caps/>
                <w:sz w:val="28"/>
                <w:szCs w:val="28"/>
              </w:rPr>
              <w:t>СУДЕБНая землеустроительная ЭКСПЕРТИЗА</w:t>
            </w:r>
          </w:p>
          <w:p w:rsidR="009F269D" w:rsidRDefault="009F269D">
            <w:pPr>
              <w:jc w:val="center"/>
              <w:rPr>
                <w:rFonts w:ascii="Arial" w:hAnsi="Arial" w:cs="Arial"/>
                <w:b/>
                <w:smallCaps/>
                <w:sz w:val="28"/>
                <w:szCs w:val="28"/>
              </w:rPr>
            </w:pPr>
          </w:p>
          <w:p w:rsidR="009F269D" w:rsidRDefault="009F26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Термины и определения</w:t>
            </w:r>
          </w:p>
          <w:p w:rsidR="009F269D" w:rsidRDefault="009F26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9F269D" w:rsidRDefault="00F44B49">
            <w:pPr>
              <w:jc w:val="center"/>
              <w:rPr>
                <w:rFonts w:ascii="Arial" w:hAnsi="Arial" w:cs="Arial"/>
                <w:b/>
                <w:bCs/>
                <w:sz w:val="28"/>
                <w:szCs w:val="24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Forensic land surveying examination</w:t>
            </w:r>
            <w:r w:rsidR="009F269D">
              <w:rPr>
                <w:rFonts w:ascii="Arial" w:hAnsi="Arial" w:cs="Arial"/>
                <w:sz w:val="28"/>
                <w:szCs w:val="28"/>
                <w:lang w:val="en-US"/>
              </w:rPr>
              <w:t>. Terms and definitions</w:t>
            </w:r>
          </w:p>
          <w:p w:rsidR="009F269D" w:rsidRDefault="009F269D">
            <w:pPr>
              <w:jc w:val="center"/>
              <w:rPr>
                <w:rFonts w:ascii="Arial" w:hAnsi="Arial" w:cs="Arial"/>
                <w:b/>
                <w:bCs/>
                <w:sz w:val="28"/>
                <w:szCs w:val="24"/>
                <w:lang w:val="en-US"/>
              </w:rPr>
            </w:pPr>
          </w:p>
        </w:tc>
      </w:tr>
    </w:tbl>
    <w:p w:rsidR="009F269D" w:rsidRDefault="009F269D" w:rsidP="009F269D">
      <w:pPr>
        <w:ind w:firstLine="709"/>
        <w:rPr>
          <w:rFonts w:ascii="Arial" w:hAnsi="Arial" w:cs="Arial"/>
          <w:b/>
          <w:bCs/>
          <w:sz w:val="28"/>
          <w:szCs w:val="24"/>
          <w:lang w:val="en-US"/>
        </w:rPr>
      </w:pPr>
    </w:p>
    <w:p w:rsidR="009F269D" w:rsidRDefault="009F269D" w:rsidP="009F269D">
      <w:pPr>
        <w:spacing w:line="360" w:lineRule="auto"/>
        <w:ind w:firstLine="709"/>
        <w:jc w:val="right"/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t>Дата введения –</w:t>
      </w:r>
      <w:r>
        <w:rPr>
          <w:rFonts w:ascii="Arial" w:hAnsi="Arial" w:cs="Arial"/>
          <w:b/>
          <w:bCs/>
          <w:sz w:val="28"/>
          <w:szCs w:val="24"/>
        </w:rPr>
        <w:tab/>
      </w:r>
      <w:r>
        <w:rPr>
          <w:rFonts w:ascii="Arial" w:hAnsi="Arial" w:cs="Arial"/>
          <w:b/>
          <w:bCs/>
          <w:sz w:val="28"/>
          <w:szCs w:val="24"/>
        </w:rPr>
        <w:tab/>
      </w:r>
      <w:r>
        <w:rPr>
          <w:rFonts w:ascii="Arial" w:hAnsi="Arial" w:cs="Arial"/>
          <w:b/>
          <w:bCs/>
          <w:sz w:val="28"/>
          <w:szCs w:val="24"/>
        </w:rPr>
        <w:tab/>
      </w:r>
      <w:r>
        <w:rPr>
          <w:rFonts w:ascii="Arial" w:hAnsi="Arial" w:cs="Arial"/>
          <w:b/>
          <w:bCs/>
          <w:sz w:val="28"/>
          <w:szCs w:val="24"/>
        </w:rPr>
        <w:tab/>
      </w:r>
      <w:r>
        <w:rPr>
          <w:rFonts w:ascii="Arial" w:hAnsi="Arial" w:cs="Arial"/>
          <w:b/>
          <w:bCs/>
          <w:sz w:val="28"/>
          <w:szCs w:val="24"/>
        </w:rPr>
        <w:tab/>
      </w:r>
      <w:r>
        <w:rPr>
          <w:rFonts w:ascii="Arial" w:hAnsi="Arial" w:cs="Arial"/>
          <w:b/>
          <w:bCs/>
          <w:sz w:val="28"/>
          <w:szCs w:val="24"/>
        </w:rPr>
        <w:tab/>
      </w:r>
    </w:p>
    <w:p w:rsidR="00F963C9" w:rsidRDefault="00F963C9">
      <w:pPr>
        <w:spacing w:line="360" w:lineRule="auto"/>
        <w:ind w:firstLine="709"/>
        <w:jc w:val="right"/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tab/>
      </w:r>
      <w:r>
        <w:rPr>
          <w:rFonts w:ascii="Arial" w:hAnsi="Arial" w:cs="Arial"/>
          <w:b/>
          <w:bCs/>
          <w:sz w:val="28"/>
          <w:szCs w:val="24"/>
        </w:rPr>
        <w:tab/>
      </w:r>
      <w:r>
        <w:rPr>
          <w:rFonts w:ascii="Arial" w:hAnsi="Arial" w:cs="Arial"/>
          <w:b/>
          <w:bCs/>
          <w:sz w:val="28"/>
          <w:szCs w:val="24"/>
        </w:rPr>
        <w:tab/>
      </w:r>
      <w:r>
        <w:rPr>
          <w:rFonts w:ascii="Arial" w:hAnsi="Arial" w:cs="Arial"/>
          <w:b/>
          <w:bCs/>
          <w:sz w:val="28"/>
          <w:szCs w:val="24"/>
        </w:rPr>
        <w:tab/>
      </w:r>
    </w:p>
    <w:p w:rsidR="00F963C9" w:rsidRDefault="00F963C9">
      <w:pPr>
        <w:spacing w:line="360" w:lineRule="auto"/>
        <w:ind w:firstLine="709"/>
        <w:rPr>
          <w:rFonts w:ascii="Arial" w:eastAsia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t>1 Область применения</w:t>
      </w:r>
    </w:p>
    <w:p w:rsidR="00F963C9" w:rsidRDefault="00F963C9">
      <w:pPr>
        <w:spacing w:line="36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8"/>
          <w:szCs w:val="24"/>
        </w:rPr>
        <w:t xml:space="preserve"> </w:t>
      </w:r>
    </w:p>
    <w:p w:rsidR="00F963C9" w:rsidRDefault="00F963C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Настоящий </w:t>
      </w:r>
      <w:bookmarkStart w:id="1" w:name="_GoBack"/>
      <w:r>
        <w:rPr>
          <w:rFonts w:ascii="Arial" w:hAnsi="Arial" w:cs="Arial"/>
          <w:sz w:val="24"/>
          <w:szCs w:val="24"/>
        </w:rPr>
        <w:t xml:space="preserve">стандарт устанавливает термины и определения понятий в области судебной </w:t>
      </w:r>
      <w:r w:rsidR="0057658A">
        <w:rPr>
          <w:rFonts w:ascii="Arial" w:hAnsi="Arial" w:cs="Arial"/>
          <w:sz w:val="24"/>
          <w:szCs w:val="24"/>
        </w:rPr>
        <w:t>землеустроительной</w:t>
      </w:r>
      <w:r>
        <w:rPr>
          <w:rFonts w:ascii="Arial" w:hAnsi="Arial" w:cs="Arial"/>
          <w:sz w:val="24"/>
          <w:szCs w:val="24"/>
        </w:rPr>
        <w:t xml:space="preserve"> экспертизы.</w:t>
      </w:r>
    </w:p>
    <w:p w:rsidR="00F963C9" w:rsidRDefault="00F963C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Термины, установленные настоящим стандартом, рекомендуются для применения во всех видах документации и литературы в области судебной </w:t>
      </w:r>
      <w:r w:rsidR="0057658A">
        <w:rPr>
          <w:rFonts w:ascii="Arial" w:hAnsi="Arial" w:cs="Arial"/>
          <w:sz w:val="24"/>
          <w:szCs w:val="24"/>
        </w:rPr>
        <w:t>землеустроительной</w:t>
      </w:r>
      <w:r>
        <w:rPr>
          <w:rFonts w:ascii="Arial" w:hAnsi="Arial" w:cs="Arial"/>
          <w:sz w:val="24"/>
          <w:szCs w:val="24"/>
        </w:rPr>
        <w:t xml:space="preserve"> экспертизы, входящих в сферу действия работ по стандартизации и (или) использующих результаты этих работ.</w:t>
      </w:r>
    </w:p>
    <w:p w:rsidR="00F963C9" w:rsidRDefault="00F963C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Требования стандарта распространяются на деятельность государственных и негосударственных судебных экспертов-</w:t>
      </w:r>
      <w:r w:rsidR="0057658A">
        <w:rPr>
          <w:rFonts w:ascii="Arial" w:hAnsi="Arial" w:cs="Arial"/>
          <w:sz w:val="24"/>
          <w:szCs w:val="24"/>
        </w:rPr>
        <w:t>землеустроителей</w:t>
      </w:r>
      <w:r>
        <w:rPr>
          <w:rFonts w:ascii="Arial" w:hAnsi="Arial" w:cs="Arial"/>
          <w:sz w:val="24"/>
          <w:szCs w:val="24"/>
        </w:rPr>
        <w:t>.</w:t>
      </w:r>
    </w:p>
    <w:bookmarkEnd w:id="1"/>
    <w:p w:rsidR="008230A9" w:rsidRDefault="008230A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05D2B" w:rsidRDefault="00D05D2B">
      <w:pPr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05D2B">
        <w:rPr>
          <w:rFonts w:ascii="Arial" w:hAnsi="Arial" w:cs="Arial"/>
          <w:b/>
          <w:sz w:val="24"/>
          <w:szCs w:val="24"/>
          <w:lang w:val="en-US"/>
        </w:rPr>
        <w:t xml:space="preserve">2 </w:t>
      </w:r>
      <w:r w:rsidRPr="00D05D2B">
        <w:rPr>
          <w:rFonts w:ascii="Arial" w:hAnsi="Arial" w:cs="Arial"/>
          <w:b/>
          <w:sz w:val="24"/>
          <w:szCs w:val="24"/>
        </w:rPr>
        <w:t>Термины и определения</w:t>
      </w:r>
    </w:p>
    <w:p w:rsidR="00D05D2B" w:rsidRPr="00D05D2B" w:rsidRDefault="00D05D2B">
      <w:pPr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9123" w:type="dxa"/>
        <w:tblInd w:w="846" w:type="dxa"/>
        <w:tblLook w:val="04A0" w:firstRow="1" w:lastRow="0" w:firstColumn="1" w:lastColumn="0" w:noHBand="0" w:noVBand="1"/>
      </w:tblPr>
      <w:tblGrid>
        <w:gridCol w:w="6350"/>
        <w:gridCol w:w="2773"/>
      </w:tblGrid>
      <w:tr w:rsidR="008230A9" w:rsidRPr="00A267A4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1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судебная землеустроительная экспертиза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: Род судебной экспертизы, включающий в себя исследования объектов землеустройства для установления фактических данных, имеющих доказательственное значение в ходе судопроизводства [ГОСТ Р 71232-2024, пункт 9].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F44B49" w:rsidP="005F4825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forensic </w:t>
            </w:r>
            <w:r w:rsidR="005F4825" w:rsidRPr="005F482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land surveying</w:t>
            </w:r>
            <w:r w:rsidR="005F4825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="005F4825" w:rsidRPr="005F482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examination</w:t>
            </w:r>
          </w:p>
        </w:tc>
      </w:tr>
      <w:tr w:rsidR="008230A9" w:rsidRPr="00340AB5" w:rsidTr="00F61CDE">
        <w:tc>
          <w:tcPr>
            <w:tcW w:w="6350" w:type="dxa"/>
            <w:tcBorders>
              <w:bottom w:val="single" w:sz="4" w:space="0" w:color="auto"/>
            </w:tcBorders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2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объекты землеустройства </w:t>
            </w:r>
            <w:r w:rsidR="00340AB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340AB5"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: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Первичные и вторичные объекты исследования в судебной землеустроительной экспертизе.</w:t>
            </w:r>
          </w:p>
        </w:tc>
        <w:tc>
          <w:tcPr>
            <w:tcW w:w="2773" w:type="dxa"/>
            <w:tcBorders>
              <w:bottom w:val="single" w:sz="4" w:space="0" w:color="auto"/>
            </w:tcBorders>
            <w:shd w:val="clear" w:color="auto" w:fill="auto"/>
          </w:tcPr>
          <w:p w:rsidR="008230A9" w:rsidRPr="00340AB5" w:rsidRDefault="00340AB5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land surveying </w:t>
            </w:r>
            <w:r w:rsidR="008230A9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objects</w:t>
            </w:r>
            <w:r w:rsidRPr="00340AB5">
              <w:rPr>
                <w:lang w:val="en-US"/>
              </w:rPr>
              <w:t xml:space="preserve">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564B6C" w:rsidRPr="00340AB5" w:rsidTr="00F61CDE">
        <w:tc>
          <w:tcPr>
            <w:tcW w:w="6350" w:type="dxa"/>
            <w:tcBorders>
              <w:top w:val="single" w:sz="4" w:space="0" w:color="auto"/>
            </w:tcBorders>
            <w:shd w:val="clear" w:color="auto" w:fill="auto"/>
          </w:tcPr>
          <w:p w:rsidR="00564B6C" w:rsidRPr="00F61CDE" w:rsidRDefault="00564B6C" w:rsidP="00340AB5">
            <w:pPr>
              <w:tabs>
                <w:tab w:val="left" w:pos="1134"/>
              </w:tabs>
              <w:spacing w:line="360" w:lineRule="auto"/>
              <w:ind w:firstLine="709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  <w:p w:rsidR="00564B6C" w:rsidRPr="00564B6C" w:rsidRDefault="00564B6C" w:rsidP="00564B6C">
            <w:pPr>
              <w:tabs>
                <w:tab w:val="left" w:pos="1134"/>
              </w:tabs>
              <w:spacing w:line="360" w:lineRule="auto"/>
              <w:ind w:firstLine="5"/>
              <w:jc w:val="both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564B6C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Издание официальное</w:t>
            </w:r>
          </w:p>
        </w:tc>
        <w:tc>
          <w:tcPr>
            <w:tcW w:w="2773" w:type="dxa"/>
            <w:tcBorders>
              <w:top w:val="single" w:sz="4" w:space="0" w:color="auto"/>
            </w:tcBorders>
            <w:shd w:val="clear" w:color="auto" w:fill="auto"/>
          </w:tcPr>
          <w:p w:rsidR="00564B6C" w:rsidRPr="00340AB5" w:rsidRDefault="00564B6C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 xml:space="preserve">3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специальные знания, необходимые для производства судебной землеустроительной экспертизы: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Профессиональные (теоретические и прикладные) знания в области геодезии, картографии, землеустройства, почвоведения, градостроительства, строительства, кадастра объектов недвижимости, а также знания в области определения рыночной и иной стоимости земельных участков, позволяющие в пределах установленной компетенции проводить исследования объектов судебной землеустроительной экспертизы в целях обеспечения эффективности судопроизводства.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4175B5" w:rsidP="00F44B49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s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pecial knowledge required for conducting </w:t>
            </w:r>
            <w:r w:rsidR="007B3EA2" w:rsidRPr="007B3EA2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of 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4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предмет судебной землеустроительной экспертизы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: Устанавливаемые на основе результатов использования специальных знаний в области геодезии, картографии, землеустройства, почвоведения, градостроительства, строительства, кадастра объектов недвижимости, а также в области определения рыночной и иной стоимости земельных участков, фактические данные по уголовным и гражданским делам, рассматриваемым как в судах общей юрисдикции, так и в арбитражных судах, по административным делам, а также по делам об административных правонарушения</w:t>
            </w:r>
            <w:r w:rsidR="008A7CBA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4175B5" w:rsidP="00F44B49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s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ubject of</w:t>
            </w:r>
            <w:r w:rsidR="007B3EA2" w:rsidRPr="007B3EA2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 land surveying examination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5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первичные объекты судебной землеустроительной экспертизы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: земельные участки, участки недр и все, что прочно связано с землей (здания, строения, сооружения, объекты незавершенного строительства), иные материальные объекты, связанные с земной поверхностью, территории и зоны, местоположение которых необходимо определить в какой-либо системе координат, а также другие характеристики (конфигурация, площадь, взаимное расположение и пр.), как в натуре (в ходе экспертного осмотра), так и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>по документам или иным источникам информации, имеющим отношение к предмету экспертизы.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4175B5" w:rsidP="00F44B49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lastRenderedPageBreak/>
              <w:t>p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rimary objects </w:t>
            </w:r>
            <w:r w:rsidR="007B3EA2" w:rsidRPr="007B3EA2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of 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 xml:space="preserve">6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вторичные объекты судебной землеустроительной экспертизы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: Правоустанавливающие, правоудостоверяющие (правоподтверждающие) и иные документы, содержащие текстовую, графическую, а также другие формы информации о первичных объектах судебной землеустроительной экспертизы.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4175B5" w:rsidP="00E268C8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s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econdary objects of </w:t>
            </w:r>
            <w:r w:rsidR="007B3EA2" w:rsidRPr="007B3EA2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land surveying examination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7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задачи судебной землеустроительной экспертизы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: Действия, заданные в условиях судебно-экспертных ситуаций, требующих своего разрешения путем проведения исследований с использованием специальных знаний, необходимых для производства судебной землеустроительной экспертизы.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4175B5" w:rsidP="00E268C8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o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bjectives of </w:t>
            </w:r>
            <w:r w:rsidR="007B3EA2" w:rsidRPr="007B3EA2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land surveying examination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8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научно-методические основы судебной землеустроительной экспертизы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: Комплекс взаимосвязанных базовых научно-методических положений, составляющих основу судебно-экспертных землеустроительных исследований, включающий такие дисциплины, как: </w:t>
            </w:r>
            <w:r w:rsidR="008A7CBA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судебная экспертология,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геодезия, картография, геоинформатика, фотограмметрия, топография, кадастр объектов недвижимости, землеустройство, градостроительство, архитектура, строительство и строительное производство, гидрология, экология, почвоведение, оценка недвижимости и другие отраслевые дисциплины.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s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cientific and methodological foundations of 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9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инструментально-техническая основа для производства судебной землеустроительной экспертизы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: Совокупность технических устройств и оборудования, а также программного обеспечения, с помощью которых эксперт проводит исследование, а именно: получает, фиксирует, обрабатывает,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>анализирует, сопоставляет, моделирует данные и пр.</w:t>
            </w:r>
          </w:p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63340">
              <w:rPr>
                <w:rFonts w:ascii="Arial" w:eastAsia="Calibri" w:hAnsi="Arial" w:cs="Arial"/>
                <w:color w:val="000000"/>
                <w:sz w:val="22"/>
                <w:szCs w:val="22"/>
              </w:rPr>
              <w:t>Примечание: при производстве судебной землеустроительной экспертизы используются геодезические приборы (теодолит, нивелир, тахеометр, лазерный сканер), спутниковое оборудование, дроны, лазерные рулетки и дальномеры, мерные ленты, средства фотофиксации, специальные программные комплексы к геодезическому и спутниковому оборудованию и прикладные программы.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8230A9" w:rsidP="00E268C8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lastRenderedPageBreak/>
              <w:t xml:space="preserve">Instrumental and technical basis for production of 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 xml:space="preserve">10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земельный участок </w:t>
            </w:r>
            <w:r w:rsidR="00340AB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340AB5"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: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Часть поверхности земли (в том числе поверхностный почвенный слой), границы которой имеют характеристики, позволяющие определить ее в качестве индивидуально определенной вещи, а также все, что находится над и под поверхностью земельного участка, если иное не предусмотрено федеральными законами о недрах, об использовании воздушного пространства и иными федеральными законами.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l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and plot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11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домовладение </w:t>
            </w:r>
            <w:r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</w:t>
            </w:r>
            <w:r w:rsidR="008A7CBA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ая</w:t>
            </w:r>
            <w:r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 землеустроительн</w:t>
            </w:r>
            <w:r w:rsidR="008A7CBA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ая</w:t>
            </w:r>
            <w:r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 экспертиз</w:t>
            </w:r>
            <w:r w:rsidR="008A7CBA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а</w:t>
            </w:r>
            <w:r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)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: Земельный участок, имеющий определенные границы с расположенным на нем жилым домом (жилыми домами), а также надворными строениями и сооружениями, при наличии таковых.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8D03B5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h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ouse</w:t>
            </w:r>
            <w:r w:rsidR="008D03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hold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12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предельные параметры земельного участка </w:t>
            </w:r>
            <w:r w:rsidR="008A7CBA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: Установленные соответствующим градостроительным регламентом минимальные и максимальные размеры земельного участка, которые включают в себя: минимальные и максимальные размеры земельных участков, в том числе площадь; минимальные отступы от границ земельных участков для определения допустимого размещения зданий, строений, сооружений; предельное количество этажей или предельную высоту зданий, строений, сооружений; максимальный процент застройки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>земельного участка; минимальный процент озеленения земельного участка и пр.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lastRenderedPageBreak/>
              <w:t>l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imit parameters of a land plot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 xml:space="preserve">13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фактические границы земельного участка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P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: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Существующие на период производства исследования (проведения экспертного осмотра) границы земельного участка, определяемые в натуре объектами искусственного происхождения (ограждениями (заборами), различными строениями, дорогами, контурами полей и т.п) и/или природными объектами (водными объектами, оврагами и/или иными индивидуальными особенностями рельефа местности).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a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ctual boundaries of a land plot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14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смежная граница земельных участков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: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Общая граница двух смежных (соседних) земельных участков.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a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djacent boundaries of land plots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15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фасадная (передняя) граница земельного участка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: </w:t>
            </w:r>
            <w:r w:rsidR="005F4825">
              <w:rPr>
                <w:rFonts w:ascii="Arial" w:eastAsia="Calibri" w:hAnsi="Arial" w:cs="Arial"/>
                <w:color w:val="000000"/>
                <w:sz w:val="24"/>
                <w:szCs w:val="24"/>
              </w:rPr>
              <w:t>Г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раница, расположенная со стороны улицы (переулка, проспекта и т.п.), определяющая адресную принадлежность земельного участка.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ront boundary of a land plot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16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тыльная (задняя) граница земельного участка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: Граница, противоположная фасадной границе.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r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ear (back) boundary of a land plot</w:t>
            </w:r>
          </w:p>
        </w:tc>
      </w:tr>
      <w:tr w:rsidR="008230A9" w:rsidRPr="00A267A4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17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смежные земельные участки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: Соседние земельные участки, имеющие смежную границу.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a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djacent land plots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18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конфигурация границ земельного участка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: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Совокупность геометрических характеристик (различных углов и горизонтальных проложений) границ земельного участка.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onfiguration of land plot boundaries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19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земельные участки общего пользования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: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Земельные участки, предназначенные для коллективного, свободного и беспрепятственного пользования неограниченным кругом лиц (например, площади, улицы, проезды, набережные, береговые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>полосы водных объектов, скверы, бульвары, пляжи, автомобильные дороги и иные общественные пространства).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lastRenderedPageBreak/>
              <w:t>l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and plots for public use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 xml:space="preserve">20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фактическая площадь земельного участка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: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Площадь земельного участка, определяемая местоположением его фактических границ.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E268C8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a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ctual area of land plot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21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контур здания, строения, сооружения, объекта незавершенного строительства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: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Замкнутая и (или) разомкнутая линия (либо совокупность замкнутых и разомкнутых линий), образуемая проекцией внешних границ строительных конструкций (в том числе колонн, арок (проездов), галерей, консолей, балконов, свесов, входных групп и т.п.) на горизонтальную плоскость.</w:t>
            </w:r>
          </w:p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63340">
              <w:rPr>
                <w:rFonts w:ascii="Arial" w:eastAsia="Calibri" w:hAnsi="Arial" w:cs="Arial"/>
                <w:color w:val="000000"/>
                <w:sz w:val="22"/>
                <w:szCs w:val="22"/>
              </w:rPr>
              <w:t>Примечание: у здания, строения, сооружения, объекта незавершенного строительства может быть наземный, надземный и (или) подземный контур или их совокупность.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8230A9" w:rsidP="00E268C8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outline of building, structure, facility, or unfinished construction project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22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фактические границы (фактический контур) здания, строения, сооружения, объекта незавершенного строительства, не являющихся линейным</w:t>
            </w:r>
            <w:r w:rsidR="007B3EA2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и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 или точечным</w:t>
            </w:r>
            <w:r w:rsidR="007B3EA2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и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 объект</w:t>
            </w:r>
            <w:r w:rsidR="007B3EA2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ами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: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Существующий на период производства исследования (проведения экспертного осмотра) контур здания, строения, сооружения, объекта незавершенного строительства, образованный строительными конструкциями (в том числе колонн, арок (проездов), галерей, консолей, балконов, свесов, входных групп и т.п.) здания, строения, сооружения, объекта незавершенного строительства.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8230A9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actual boundaries (actual contour) of a building, structure, facility, or unfinished construction project that is not a linear or point object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23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местоположение линейного или точечного сооружения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: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Положение сооружения на местности,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 xml:space="preserve">выраженное геодезическими координатами характерных точек его трассы (для линейного) или точки (для точечного). </w:t>
            </w:r>
          </w:p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63340">
              <w:rPr>
                <w:rFonts w:ascii="Arial" w:eastAsia="Calibri" w:hAnsi="Arial" w:cs="Arial"/>
                <w:color w:val="000000"/>
                <w:sz w:val="22"/>
                <w:szCs w:val="22"/>
              </w:rPr>
              <w:t>Примечание: для линейного сооружения указывают координаты начальной, промежуточных и конечной характерных точек, осевую линию или перечень узлов; для точечного — координаты его единственной характерной точки (центр, устье, люк и т.п.).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lastRenderedPageBreak/>
              <w:t>l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ocation of a linear or point structure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forensic land surveying 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lastRenderedPageBreak/>
              <w:t>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 xml:space="preserve">24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характерная (поворотная) точка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: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Точка изменения описания границы земельного участка или контура здания, строения, сооружения, объекта незавершенного строительства и деления их на части.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haracteristic (turning) point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25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натурные исследования объектов судебной землеустроительной экспертизы </w:t>
            </w:r>
            <w:r w:rsidRPr="005F4825">
              <w:rPr>
                <w:rFonts w:ascii="Arial" w:eastAsia="Calibri" w:hAnsi="Arial" w:cs="Arial"/>
                <w:bCs/>
                <w:i/>
                <w:color w:val="000000"/>
                <w:sz w:val="24"/>
                <w:szCs w:val="24"/>
              </w:rPr>
              <w:t>(осмотр объекта исследования по месту его нахождения; осмотр объекта исследования на месте)</w:t>
            </w:r>
            <w:r w:rsidRPr="005F4825">
              <w:rPr>
                <w:rFonts w:ascii="Arial" w:eastAsia="Calibri" w:hAnsi="Arial" w:cs="Arial"/>
                <w:i/>
                <w:color w:val="000000"/>
                <w:sz w:val="24"/>
                <w:szCs w:val="24"/>
              </w:rPr>
              <w:t>: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Процесс, включающий в себя визуальное и/или инструментальное обследование объектов судебной землеустроительной экспертизы, а также</w:t>
            </w:r>
            <w:r w:rsidR="00F44B49" w:rsidRPr="00F44B49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(</w:t>
            </w:r>
            <w:r w:rsidR="00F44B49"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при необходимости</w:t>
            </w:r>
            <w:r w:rsidR="00F44B49" w:rsidRPr="00F44B49">
              <w:rPr>
                <w:rFonts w:ascii="Arial" w:eastAsia="Calibri" w:hAnsi="Arial" w:cs="Arial"/>
                <w:color w:val="000000"/>
                <w:sz w:val="24"/>
                <w:szCs w:val="24"/>
              </w:rPr>
              <w:t>)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прилегающей к ним территории.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8230A9" w:rsidP="00E268C8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In-kind studies of forensic land survey objects </w:t>
            </w:r>
            <w:r w:rsidRPr="00340AB5">
              <w:rPr>
                <w:rFonts w:ascii="Arial" w:eastAsia="Calibri" w:hAnsi="Arial" w:cs="Arial"/>
                <w:i/>
                <w:color w:val="000000"/>
                <w:sz w:val="24"/>
                <w:szCs w:val="24"/>
                <w:lang w:val="en-US"/>
              </w:rPr>
              <w:t>(inspection of research object at its location; inspection of research object on-site)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26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геодезическое основа (обоснование) судебной землеустроительной экспертизы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: Совокупность данных об используемых экспертом опорных геодезических пунктах, нивелирных, стенных и прочих реперах, геодезических сетей и моделей, методик и нормативных данных, полевых журналов и камеральной обработки, обеспечивающая единую планово-высотную привязку, метрологическую оценку, геопространственные измерения и топографическую съемку в требуемой системе координат и высот для производства судебной землеустроительной экспертизы.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340AB5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g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eodetic basis (justification) for 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27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картографическая основа судебной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lastRenderedPageBreak/>
              <w:t>землеустроительной экспертизы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: Совокупность картографических и графических материалов, цифровых и бумажных носителей, методик их подготовки и метаданных, обеспечивающая визуальное и метрическое представление территории, необходимых для исследования в судебной землеустроительной экспертизе.</w:t>
            </w:r>
          </w:p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63340">
              <w:rPr>
                <w:rFonts w:ascii="Arial" w:eastAsia="Calibri" w:hAnsi="Arial" w:cs="Arial"/>
                <w:color w:val="000000"/>
                <w:sz w:val="22"/>
                <w:szCs w:val="22"/>
              </w:rPr>
              <w:t>Примечание: к картографической основе судебной землеустроительной экспертизы относятся – картографические и топографические планы и съёмки, ортофотопланы и аэрофотоснимки, цифровые модели рельефа и растровые/векторные сведения, схемы, планы местности и иные материалы.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041124" w:rsidP="00340AB5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lastRenderedPageBreak/>
              <w:t>c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artographic basis for 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lastRenderedPageBreak/>
              <w:t>forensic land surveying examination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 xml:space="preserve">28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нормативная точность определения координат характерных точек границ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: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Установленная нормативным документом или стандартом величина погрешности, в пределах которой должны быть определены координаты характерных точек границ земельных участков, зданий, строений, сооружений, объектов незавершенного строительства.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283B83" w:rsidP="00E268C8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n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ormative accuracy of determining coordinates of characteristic boundary points 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29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образуемый земельный участок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: Земельный участок, образующийся при разделе, объединении, перераспределении земельных участков или выделе из земельных участков, а также из земель, находящихся в государственной или муниципальной собственности [ГОСТ Р 59529-2021 пункт 22].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land plot </w:t>
            </w:r>
            <w:r w:rsidR="00A31A48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to be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 formed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30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измененный земельный участок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: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Земельный участок, характеристики которого (например, границы, площадь, конфигурация и т.д.) были изменены, при этом такой земельный участок сохраняется с измененными характеристиками.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283B83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hanged land plot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31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исходный земельный участок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: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Земельный участок, из которого в результате раздела, объединении,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>перераспределения или выдела образован один или несколько земельных участков.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283B83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lastRenderedPageBreak/>
              <w:t>o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riginal land plot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 xml:space="preserve">32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делимый земельный участок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: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Земельный участок, раздел которого возможно осуществить без нарушений требований к образуемым или измененным земельным участкам.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283B83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d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ivisible land plot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33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вклинивание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: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Расположение одного земельного участка или его части в виде клина или неровного, узкого выступа в границы другого или других земельных участков, которое создает взаимное неудобство в использовании таких земельных участков.</w:t>
            </w:r>
          </w:p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63340">
              <w:rPr>
                <w:rFonts w:ascii="Arial" w:eastAsia="Calibri" w:hAnsi="Arial" w:cs="Arial"/>
                <w:color w:val="000000"/>
                <w:sz w:val="22"/>
                <w:szCs w:val="22"/>
              </w:rPr>
              <w:t>Примечание: Взаимное неудобство в использовании таких земельных участков характеризуется невозможностью размещения на них объектов недвижимости, рационального использования согласно разрешенному виду использованию и (или) необоснованно существующим архитектурно-планировочным решением либо индивидуальными особенностями рельефа местности.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283B83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w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edging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34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вкрапливание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: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Расположение одного земельного участка в окружении границ другого земельного участка.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A31A48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i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nterspersion 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35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чересполосица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: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Полосное расположение земельного участка среди других земельных участков, которое создает взаимное неудобство в использовании таких земельных участков. </w:t>
            </w:r>
          </w:p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63340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Примечание: Взаимное неудобство в использовании таких земельных участков характеризуется невозможностью размещения на них объектов недвижимости, рационального использования согласно разрешенному виду использованию и (или) необоснованно </w:t>
            </w:r>
            <w:r w:rsidRPr="00063340">
              <w:rPr>
                <w:rFonts w:ascii="Arial" w:eastAsia="Calibri" w:hAnsi="Arial" w:cs="Arial"/>
                <w:color w:val="000000"/>
                <w:sz w:val="22"/>
                <w:szCs w:val="22"/>
              </w:rPr>
              <w:lastRenderedPageBreak/>
              <w:t>существующим архитектурно-планировочным решением либо индивидуальными особенностями рельефа местности, отсутствие свободного доступа с земель общего пользования.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283B83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lastRenderedPageBreak/>
              <w:t>s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trip farming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 xml:space="preserve">36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изломанность границ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: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Конфигурация границ земельного участка, имеющая избыточные (т.е. не обоснованные окружающей застройкой либо индивидуальными особенностями рельефа местности, дорогами, лесозащитными полосами и т.п.) изгибы и изломы.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283B83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b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roken boundaries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37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многоконтурный земельный участок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: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Земельный участок, состоящий из совокупности двух и более замкнутых контуров (частей), не имеющих смежных между собой границ.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283B83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m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ulti-contour land plot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063340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38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сервитут </w:t>
            </w:r>
            <w:r w:rsidR="005F4825" w:rsidRPr="008A7CBA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(судебная землеустроительная экспертиза)</w:t>
            </w:r>
            <w:r w:rsidR="005F4825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: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Право ограниченного пользования чужим земельным участком или зданием, сооружением и другим имуществом.</w:t>
            </w:r>
          </w:p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63340">
              <w:rPr>
                <w:rFonts w:ascii="Arial" w:eastAsia="Calibri" w:hAnsi="Arial" w:cs="Arial"/>
                <w:color w:val="000000"/>
                <w:sz w:val="22"/>
                <w:szCs w:val="22"/>
              </w:rPr>
              <w:t>Примечание: Сервитут может устанавливаться для обеспечения прохода и/или проезда с земель общего пользования через соседний земельный участок и/или другой земельный участок, прокладки и эксплуатации линий электропередачи, связи и трубопроводов, обеспечения водоснабжения и мелиорации, а также для других нужд собственника недвижимого имущества, которые не могут быть обеспечены без установления сервитута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283B83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s</w:t>
            </w:r>
            <w:r w:rsidR="008230A9"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ervitude 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 w:rsidR="00F44B4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="00340AB5"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8230A9" w:rsidRPr="00A267A4" w:rsidTr="00F61CDE">
        <w:tc>
          <w:tcPr>
            <w:tcW w:w="6350" w:type="dxa"/>
            <w:shd w:val="clear" w:color="auto" w:fill="auto"/>
          </w:tcPr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39 </w:t>
            </w:r>
            <w:r w:rsidRPr="00063340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отправная точка отсчета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: Выбираемая экспертом условная точка (условные точки) либо  в части застройки земельных участков либо в виде индивидуальных особенностей рельефа местности и (или) крестов геодезической сетки исходного картографического материала, расположение которой (которых) с момента образования (нарезки, 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>выделения, предоставления) земельного участка и по настоящее время осталось неизменным, позволяющая (позволяющие) определить первичное местоположение границ земельного участка в отсутствии сведений о координатах характерных точек таковых границ.</w:t>
            </w:r>
          </w:p>
          <w:p w:rsidR="008230A9" w:rsidRPr="00063340" w:rsidRDefault="008230A9" w:rsidP="00A31A48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63340">
              <w:rPr>
                <w:rFonts w:ascii="Arial" w:eastAsia="Calibri" w:hAnsi="Arial" w:cs="Arial"/>
                <w:color w:val="000000"/>
                <w:sz w:val="22"/>
                <w:szCs w:val="22"/>
              </w:rPr>
              <w:t>Примечание: Аналогом термина «отправная точка отсчета» является термин «отправная линия отсчета», который применим при определении неизменности расположения какой-либо из фактических границ расположению соответствующей границы, согласно исходным (первичным) данным о ее расположении.</w:t>
            </w:r>
          </w:p>
        </w:tc>
        <w:tc>
          <w:tcPr>
            <w:tcW w:w="2773" w:type="dxa"/>
            <w:shd w:val="clear" w:color="auto" w:fill="auto"/>
          </w:tcPr>
          <w:p w:rsidR="008230A9" w:rsidRPr="00063340" w:rsidRDefault="008230A9" w:rsidP="00063340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>starting point</w:t>
            </w:r>
          </w:p>
        </w:tc>
      </w:tr>
    </w:tbl>
    <w:p w:rsidR="008230A9" w:rsidRDefault="008230A9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F963C9" w:rsidRDefault="00F963C9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F963C9" w:rsidRPr="0030393D" w:rsidRDefault="00F963C9">
      <w:pPr>
        <w:rPr>
          <w:lang w:val="en-US"/>
        </w:rPr>
        <w:sectPr w:rsidR="00F963C9" w:rsidRPr="0030393D" w:rsidSect="00FF7611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1021" w:right="851" w:bottom="1021" w:left="1418" w:header="720" w:footer="720" w:gutter="0"/>
          <w:pgNumType w:start="1"/>
          <w:cols w:space="720"/>
          <w:docGrid w:linePitch="272"/>
        </w:sectPr>
      </w:pPr>
    </w:p>
    <w:p w:rsidR="00F963C9" w:rsidRDefault="00F963C9">
      <w:pPr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lastRenderedPageBreak/>
        <w:t>Алфавитный указатель терминов на русском языке</w:t>
      </w:r>
    </w:p>
    <w:p w:rsidR="006D35DB" w:rsidRPr="006D35DB" w:rsidRDefault="006D35DB">
      <w:pPr>
        <w:jc w:val="center"/>
        <w:rPr>
          <w:rFonts w:ascii="Arial" w:hAnsi="Arial" w:cs="Arial"/>
          <w:b/>
          <w:sz w:val="10"/>
          <w:szCs w:val="10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9039"/>
        <w:gridCol w:w="284"/>
        <w:gridCol w:w="424"/>
        <w:gridCol w:w="284"/>
      </w:tblGrid>
      <w:tr w:rsidR="000E710B" w:rsidRPr="007435C2" w:rsidTr="003F50B7">
        <w:tc>
          <w:tcPr>
            <w:tcW w:w="9323" w:type="dxa"/>
            <w:gridSpan w:val="2"/>
            <w:shd w:val="clear" w:color="auto" w:fill="auto"/>
          </w:tcPr>
          <w:p w:rsidR="000E710B" w:rsidRPr="000E710B" w:rsidRDefault="00C05DC1" w:rsidP="00C05DC1">
            <w:pPr>
              <w:tabs>
                <w:tab w:val="left" w:pos="1134"/>
              </w:tabs>
              <w:spacing w:line="400" w:lineRule="exact"/>
              <w:ind w:firstLine="9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в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клинивание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3F50B7" w:rsidRDefault="003F50B7" w:rsidP="00814779">
            <w:pPr>
              <w:keepLines/>
              <w:spacing w:line="400" w:lineRule="exac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33</w:t>
            </w:r>
          </w:p>
        </w:tc>
      </w:tr>
      <w:tr w:rsidR="000E710B" w:rsidRPr="007435C2" w:rsidTr="003F50B7">
        <w:tc>
          <w:tcPr>
            <w:tcW w:w="9323" w:type="dxa"/>
            <w:gridSpan w:val="2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в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крапливание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BB5AC6" w:rsidRDefault="003F50B7" w:rsidP="00814779">
            <w:pPr>
              <w:keepLines/>
              <w:spacing w:line="400" w:lineRule="exac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34</w:t>
            </w:r>
          </w:p>
        </w:tc>
      </w:tr>
      <w:tr w:rsidR="000E710B" w:rsidRPr="007F3559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в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торичные объекты судебной землеустроительной экспертизы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BB5AC6" w:rsidRDefault="003F50B7" w:rsidP="007F3559">
            <w:pPr>
              <w:keepLines/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</w:tr>
      <w:tr w:rsidR="000E710B" w:rsidRPr="007F3559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г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еодезическое основа (обоснование) судебной землеустроительной экспертизы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3F50B7" w:rsidRDefault="003F50B7" w:rsidP="007F3559">
            <w:pPr>
              <w:keepLines/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26</w:t>
            </w:r>
          </w:p>
          <w:p w:rsidR="003911A7" w:rsidRPr="007F3559" w:rsidRDefault="003911A7" w:rsidP="007F3559">
            <w:pPr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д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елимый земельный участок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5D21FE" w:rsidRDefault="005D21FE" w:rsidP="00C05DC1">
            <w:pPr>
              <w:keepLines/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32</w:t>
            </w: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д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омовладение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5D21FE" w:rsidRDefault="005D21FE" w:rsidP="00C05DC1">
            <w:pPr>
              <w:keepLines/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11</w:t>
            </w: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з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адачи судебной землеустроительной экспертизы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BB5AC6" w:rsidRDefault="005D21FE" w:rsidP="00C05DC1">
            <w:pPr>
              <w:keepLines/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з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емельные участки общего пользования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BB5AC6" w:rsidRDefault="005D21FE" w:rsidP="00C05DC1">
            <w:pPr>
              <w:keepLines/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19</w:t>
            </w: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з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емельный участок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BB5AC6" w:rsidRDefault="005D21FE" w:rsidP="00C05DC1">
            <w:pPr>
              <w:keepLines/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зломанность границ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5D21FE" w:rsidRDefault="005D21FE" w:rsidP="00C05DC1">
            <w:pPr>
              <w:keepLines/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36</w:t>
            </w: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змененный земельный участок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BB5AC6" w:rsidRDefault="005D21FE" w:rsidP="00C05DC1">
            <w:pPr>
              <w:keepLines/>
              <w:tabs>
                <w:tab w:val="left" w:pos="465"/>
              </w:tabs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30</w:t>
            </w: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нструментально-техническая основа для производства судебной землеустроительной экспертизы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5D21FE" w:rsidRDefault="005D21FE" w:rsidP="00C05DC1">
            <w:pPr>
              <w:keepLines/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сходный земельный участок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5D21FE" w:rsidRDefault="005D21FE" w:rsidP="00C05DC1">
            <w:pPr>
              <w:keepLines/>
              <w:tabs>
                <w:tab w:val="left" w:pos="240"/>
              </w:tabs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31</w:t>
            </w: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к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артографическая основа судебной землеустроительной экспертизы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5D21FE" w:rsidRDefault="005D21FE" w:rsidP="00C05DC1">
            <w:pPr>
              <w:keepLines/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27</w:t>
            </w: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к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онтур здания, строения, сооружения, объекта незавершенного строительства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5D21FE" w:rsidRDefault="005D21FE" w:rsidP="00C05DC1">
            <w:pPr>
              <w:keepLines/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21</w:t>
            </w: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к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онфигурация границ земельного участка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5D21FE" w:rsidRDefault="005D21FE" w:rsidP="00C05DC1">
            <w:pPr>
              <w:keepLines/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18</w:t>
            </w:r>
          </w:p>
        </w:tc>
      </w:tr>
      <w:tr w:rsidR="000E710B" w:rsidRPr="007435C2" w:rsidTr="007F3559">
        <w:trPr>
          <w:gridAfter w:val="1"/>
          <w:wAfter w:w="284" w:type="dxa"/>
          <w:trHeight w:val="428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м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естоположение линейного или точечного сооружения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BB5AC6" w:rsidRDefault="005D21FE" w:rsidP="00C05DC1">
            <w:pPr>
              <w:keepLines/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23</w:t>
            </w:r>
          </w:p>
        </w:tc>
      </w:tr>
      <w:tr w:rsidR="000E710B" w:rsidRPr="007435C2" w:rsidTr="007F3559">
        <w:trPr>
          <w:gridAfter w:val="1"/>
          <w:wAfter w:w="284" w:type="dxa"/>
          <w:trHeight w:val="521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м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ногоконтурный земельный участок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5D21FE" w:rsidRDefault="005D21FE" w:rsidP="00C05DC1">
            <w:pPr>
              <w:keepLines/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37</w:t>
            </w: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н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атурные исследования объектов судебной землеустроительной экспертизы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7435C2" w:rsidRDefault="007B3EA2" w:rsidP="00C05DC1">
            <w:pPr>
              <w:keepLines/>
              <w:spacing w:line="400" w:lineRule="exac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0E710B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н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аучно-методические основы судебной землеустроительной экспертизы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5D21FE" w:rsidRDefault="005D21FE" w:rsidP="00C05DC1">
            <w:pPr>
              <w:spacing w:line="400" w:lineRule="exact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  <w:p w:rsidR="003911A7" w:rsidRPr="003911A7" w:rsidRDefault="003911A7" w:rsidP="00C05DC1">
            <w:pPr>
              <w:spacing w:line="400" w:lineRule="exact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710B" w:rsidRPr="007435C2" w:rsidTr="003F50B7">
        <w:trPr>
          <w:gridAfter w:val="1"/>
          <w:wAfter w:w="284" w:type="dxa"/>
          <w:trHeight w:val="285"/>
        </w:trPr>
        <w:tc>
          <w:tcPr>
            <w:tcW w:w="9039" w:type="dxa"/>
            <w:shd w:val="clear" w:color="auto" w:fill="auto"/>
          </w:tcPr>
          <w:p w:rsidR="000E710B" w:rsidRPr="005D21FE" w:rsidRDefault="007B3EA2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н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ормативная точность определения координат характерных точек границ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7F3559" w:rsidRDefault="003911A7" w:rsidP="00C05DC1">
            <w:pPr>
              <w:tabs>
                <w:tab w:val="left" w:pos="195"/>
              </w:tabs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ab/>
            </w:r>
          </w:p>
          <w:p w:rsidR="000E710B" w:rsidRPr="005D21FE" w:rsidRDefault="005D21FE" w:rsidP="00C05DC1">
            <w:pPr>
              <w:tabs>
                <w:tab w:val="left" w:pos="195"/>
              </w:tabs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28</w:t>
            </w: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5D21FE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о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бразуемый земельный участок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5D21FE" w:rsidRDefault="005D21FE" w:rsidP="00C05DC1">
            <w:pPr>
              <w:tabs>
                <w:tab w:val="left" w:pos="510"/>
              </w:tabs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29</w:t>
            </w:r>
          </w:p>
        </w:tc>
      </w:tr>
      <w:tr w:rsidR="000E710B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5D21FE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о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бъекты землеустройства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5D21FE" w:rsidRDefault="005D21FE" w:rsidP="00C05DC1">
            <w:pPr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2</w:t>
            </w:r>
          </w:p>
        </w:tc>
      </w:tr>
      <w:tr w:rsidR="00340AB5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340AB5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C05DC1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осмотр объекта исследования по месту его нахождения;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340AB5" w:rsidRPr="00340AB5" w:rsidRDefault="005D21FE" w:rsidP="00C05DC1">
            <w:pPr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25</w:t>
            </w:r>
          </w:p>
        </w:tc>
      </w:tr>
      <w:tr w:rsidR="00340AB5" w:rsidRPr="007435C2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340AB5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C05DC1">
              <w:rPr>
                <w:rFonts w:ascii="Arial" w:hAnsi="Arial" w:cs="Arial"/>
                <w:bCs/>
                <w:i/>
                <w:sz w:val="24"/>
                <w:szCs w:val="24"/>
              </w:rPr>
              <w:t>осмотр объекта исследования на месте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340AB5" w:rsidRPr="00340AB5" w:rsidRDefault="00340AB5" w:rsidP="00C05DC1">
            <w:pPr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25</w:t>
            </w:r>
          </w:p>
        </w:tc>
      </w:tr>
      <w:tr w:rsidR="000E710B" w:rsidRPr="00814779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о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тправная точка отсчета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814779" w:rsidRDefault="005D21FE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>39</w:t>
            </w:r>
          </w:p>
        </w:tc>
      </w:tr>
      <w:tr w:rsidR="000E710B" w:rsidRPr="00814779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п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ервичные объекты судебной землеустроительной экспертизы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814779" w:rsidRDefault="005D21FE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</w:tr>
      <w:tr w:rsidR="000E710B" w:rsidRPr="00814779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п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редельные параметры земельного участка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814779" w:rsidRDefault="005D21FE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</w:tr>
      <w:tr w:rsidR="000E710B" w:rsidRPr="00814779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п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редмет судебной землеустроительной экспертизы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814779" w:rsidRDefault="005D21FE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</w:tr>
      <w:tr w:rsidR="000E710B" w:rsidRPr="00C05DC1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C05DC1" w:rsidRDefault="00C05DC1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с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ервитут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814779" w:rsidRDefault="005D21FE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>38</w:t>
            </w:r>
          </w:p>
        </w:tc>
      </w:tr>
      <w:tr w:rsidR="000E710B" w:rsidRPr="00C05DC1" w:rsidTr="00C05DC1">
        <w:trPr>
          <w:gridAfter w:val="1"/>
          <w:wAfter w:w="284" w:type="dxa"/>
          <w:trHeight w:val="456"/>
        </w:trPr>
        <w:tc>
          <w:tcPr>
            <w:tcW w:w="9039" w:type="dxa"/>
            <w:shd w:val="clear" w:color="auto" w:fill="auto"/>
          </w:tcPr>
          <w:p w:rsidR="000E710B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с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межная граница земельных участков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814779" w:rsidRDefault="005D21FE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>14</w:t>
            </w:r>
          </w:p>
        </w:tc>
      </w:tr>
      <w:tr w:rsidR="000E710B" w:rsidRPr="00C05DC1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с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межные земельные участки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814779" w:rsidRDefault="003911A7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="005D21FE" w:rsidRPr="00814779">
              <w:rPr>
                <w:rFonts w:ascii="Arial" w:hAnsi="Arial" w:cs="Arial"/>
                <w:bCs/>
                <w:sz w:val="24"/>
                <w:szCs w:val="24"/>
              </w:rPr>
              <w:t>17</w:t>
            </w:r>
          </w:p>
        </w:tc>
      </w:tr>
      <w:tr w:rsidR="000E710B" w:rsidRPr="00C05DC1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с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пециальные знания, необходимые для производства судебной землеустроительной экспертизы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7F3559" w:rsidRPr="00814779" w:rsidRDefault="007F3559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E710B" w:rsidRPr="00814779" w:rsidRDefault="005D21FE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</w:tr>
      <w:tr w:rsidR="000E710B" w:rsidRPr="00C05DC1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с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удебная землеустроительная экспертиза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814779" w:rsidRDefault="003911A7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</w:tr>
      <w:tr w:rsidR="000E710B" w:rsidRPr="00C05DC1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т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ыльная (задняя) граница земельного участка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814779" w:rsidRDefault="005D21FE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>16</w:t>
            </w:r>
          </w:p>
        </w:tc>
      </w:tr>
      <w:tr w:rsidR="000E710B" w:rsidRPr="00C05DC1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ф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актическая площадь земельного участка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814779" w:rsidRDefault="005D21FE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>20</w:t>
            </w:r>
          </w:p>
        </w:tc>
      </w:tr>
      <w:tr w:rsidR="000E710B" w:rsidRPr="00C05DC1" w:rsidTr="00C05DC1">
        <w:trPr>
          <w:gridAfter w:val="1"/>
          <w:wAfter w:w="284" w:type="dxa"/>
          <w:trHeight w:val="399"/>
        </w:trPr>
        <w:tc>
          <w:tcPr>
            <w:tcW w:w="9039" w:type="dxa"/>
            <w:shd w:val="clear" w:color="auto" w:fill="auto"/>
          </w:tcPr>
          <w:p w:rsidR="000E710B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ф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актические границы земельного участка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814779" w:rsidRDefault="005D21FE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</w:tr>
      <w:tr w:rsidR="000E710B" w:rsidRPr="00C05DC1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ф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актические границы (фактический контур) здания, строения, сооружения, объекта незавершенного строительства, не являющихся линейным</w:t>
            </w:r>
            <w:r w:rsidR="005F4825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или точечным</w:t>
            </w:r>
            <w:r w:rsidR="005F4825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объект</w:t>
            </w:r>
            <w:r w:rsidR="005F4825">
              <w:rPr>
                <w:rFonts w:ascii="Arial" w:hAnsi="Arial" w:cs="Arial"/>
                <w:b/>
                <w:bCs/>
                <w:sz w:val="24"/>
                <w:szCs w:val="24"/>
              </w:rPr>
              <w:t>ами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7F3559" w:rsidRPr="00814779" w:rsidRDefault="007F3559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F3559" w:rsidRPr="00814779" w:rsidRDefault="007F3559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E710B" w:rsidRPr="00814779" w:rsidRDefault="005D21FE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>22</w:t>
            </w:r>
          </w:p>
        </w:tc>
      </w:tr>
      <w:tr w:rsidR="000E710B" w:rsidRPr="00C05DC1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ф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>асадная (передняя) граница земельного участка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814779" w:rsidRDefault="005D21FE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>15</w:t>
            </w:r>
          </w:p>
        </w:tc>
      </w:tr>
      <w:tr w:rsidR="000E710B" w:rsidRPr="00C05DC1" w:rsidTr="003F50B7">
        <w:trPr>
          <w:gridAfter w:val="1"/>
          <w:wAfter w:w="284" w:type="dxa"/>
        </w:trPr>
        <w:tc>
          <w:tcPr>
            <w:tcW w:w="9039" w:type="dxa"/>
            <w:shd w:val="clear" w:color="auto" w:fill="auto"/>
          </w:tcPr>
          <w:p w:rsidR="000E710B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х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арактерная (поворотная) точка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814779" w:rsidRDefault="005D21FE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>24</w:t>
            </w:r>
          </w:p>
        </w:tc>
      </w:tr>
      <w:tr w:rsidR="000E710B" w:rsidRPr="00C05DC1" w:rsidTr="003F50B7">
        <w:trPr>
          <w:gridAfter w:val="1"/>
          <w:wAfter w:w="284" w:type="dxa"/>
          <w:trHeight w:val="70"/>
        </w:trPr>
        <w:tc>
          <w:tcPr>
            <w:tcW w:w="9039" w:type="dxa"/>
            <w:shd w:val="clear" w:color="auto" w:fill="auto"/>
          </w:tcPr>
          <w:p w:rsidR="000E710B" w:rsidRPr="00C05DC1" w:rsidRDefault="00340AB5" w:rsidP="00C05DC1">
            <w:pPr>
              <w:shd w:val="clear" w:color="auto" w:fill="FFFFFF"/>
              <w:spacing w:line="40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ч</w:t>
            </w:r>
            <w:r w:rsidR="000E710B" w:rsidRPr="000E71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ересполосица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710B" w:rsidRPr="00814779" w:rsidRDefault="005D21FE" w:rsidP="00C05DC1">
            <w:pPr>
              <w:shd w:val="clear" w:color="auto" w:fill="FFFFFF"/>
              <w:spacing w:line="400" w:lineRule="exact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814779">
              <w:rPr>
                <w:rFonts w:ascii="Arial" w:hAnsi="Arial" w:cs="Arial"/>
                <w:bCs/>
                <w:sz w:val="24"/>
                <w:szCs w:val="24"/>
              </w:rPr>
              <w:t>35</w:t>
            </w:r>
          </w:p>
        </w:tc>
      </w:tr>
    </w:tbl>
    <w:p w:rsidR="00F963C9" w:rsidRPr="00C05DC1" w:rsidRDefault="00F963C9" w:rsidP="00C05DC1">
      <w:pPr>
        <w:shd w:val="clear" w:color="auto" w:fill="FFFFFF"/>
        <w:spacing w:line="400" w:lineRule="exact"/>
        <w:jc w:val="both"/>
        <w:rPr>
          <w:rFonts w:ascii="Arial" w:hAnsi="Arial" w:cs="Arial"/>
          <w:b/>
          <w:bCs/>
          <w:sz w:val="24"/>
          <w:szCs w:val="24"/>
        </w:rPr>
      </w:pPr>
    </w:p>
    <w:p w:rsidR="00F963C9" w:rsidRDefault="00F963C9">
      <w:pPr>
        <w:pageBreakBefore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4"/>
        </w:rPr>
        <w:lastRenderedPageBreak/>
        <w:t>Алфавитный указатель эквивалентов терминов на английском языке</w:t>
      </w:r>
    </w:p>
    <w:p w:rsidR="00F963C9" w:rsidRDefault="00F963C9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424" w:type="dxa"/>
        <w:tblLayout w:type="fixed"/>
        <w:tblLook w:val="0000" w:firstRow="0" w:lastRow="0" w:firstColumn="0" w:lastColumn="0" w:noHBand="0" w:noVBand="0"/>
      </w:tblPr>
      <w:tblGrid>
        <w:gridCol w:w="9322"/>
        <w:gridCol w:w="1102"/>
      </w:tblGrid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E268C8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actual area of land plot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actual boundaries (actual contour) of a building, structure, facility, or unfinished construction project that is not a linear or point object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22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actual boundaries of a land plot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13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adjacent boundaries of land plots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14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a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djacent land plots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17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broken boundaries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36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cartographic basis for 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27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changed land plot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30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characteristic (turning) point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24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configuration of land plot boundaries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18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divisible land plot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32</w:t>
            </w:r>
          </w:p>
        </w:tc>
      </w:tr>
      <w:tr w:rsidR="003F50B7" w:rsidTr="007B3EA2"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E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front boundary of a land plot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geodetic basis (justification) for 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26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D05D2B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house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hold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11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In-kind studies of forensic land survey objects 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25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7B3EA2" w:rsidRDefault="003F50B7" w:rsidP="00E268C8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i/>
                <w:color w:val="000000"/>
                <w:sz w:val="24"/>
                <w:szCs w:val="24"/>
                <w:lang w:val="en-US"/>
              </w:rPr>
            </w:pPr>
            <w:r w:rsidRPr="007B3EA2">
              <w:rPr>
                <w:rFonts w:ascii="Arial" w:eastAsia="Calibri" w:hAnsi="Arial" w:cs="Arial"/>
                <w:i/>
                <w:color w:val="000000"/>
                <w:sz w:val="24"/>
                <w:szCs w:val="24"/>
                <w:lang w:val="en-US"/>
              </w:rPr>
              <w:t xml:space="preserve">inspection of research object at its location; </w:t>
            </w:r>
          </w:p>
        </w:tc>
        <w:tc>
          <w:tcPr>
            <w:tcW w:w="1102" w:type="dxa"/>
            <w:shd w:val="clear" w:color="auto" w:fill="auto"/>
          </w:tcPr>
          <w:p w:rsidR="003F50B7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25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7B3EA2" w:rsidRDefault="003F50B7" w:rsidP="00E268C8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i/>
                <w:color w:val="000000"/>
                <w:sz w:val="24"/>
                <w:szCs w:val="24"/>
                <w:lang w:val="en-US"/>
              </w:rPr>
            </w:pPr>
            <w:r w:rsidRPr="007B3EA2">
              <w:rPr>
                <w:rFonts w:ascii="Arial" w:eastAsia="Calibri" w:hAnsi="Arial" w:cs="Arial"/>
                <w:i/>
                <w:color w:val="000000"/>
                <w:sz w:val="24"/>
                <w:szCs w:val="24"/>
                <w:lang w:val="en-US"/>
              </w:rPr>
              <w:t>inspection of research object on-site</w:t>
            </w:r>
          </w:p>
        </w:tc>
        <w:tc>
          <w:tcPr>
            <w:tcW w:w="1102" w:type="dxa"/>
            <w:shd w:val="clear" w:color="auto" w:fill="auto"/>
          </w:tcPr>
          <w:p w:rsidR="003F50B7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25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E268C8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i</w:t>
            </w: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nstrumental and technical basis for production of 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Interspersion 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34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land plot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land plot being formed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29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land plots for public use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19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340AB5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land surveying objects</w:t>
            </w:r>
            <w:r w:rsidRPr="00340AB5">
              <w:rPr>
                <w:lang w:val="en-US"/>
              </w:rPr>
              <w:t xml:space="preserve">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EA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limit parameters of a land plot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12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location of a linear or point structure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23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multi-contour land plot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37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E268C8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normative accuracy of determining coordinates of characteristic boundary points 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28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objectives of 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lastRenderedPageBreak/>
              <w:t xml:space="preserve">original land plot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31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E268C8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outline of building, structure, facility, or unfinished construction project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21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primary objects </w:t>
            </w:r>
            <w:r w:rsidRPr="007B3EA2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of 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rear (back) boundary of a land plot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16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scientific and methodological foundations of 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secondary objects of 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servitude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38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special knowledge required for conducting </w:t>
            </w:r>
            <w:r w:rsidRPr="007B3EA2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of 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EA2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</w:rPr>
              <w:t>starting point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39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strip farming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35</w:t>
            </w:r>
          </w:p>
        </w:tc>
      </w:tr>
      <w:tr w:rsidR="003F50B7" w:rsidRPr="007B3EA2" w:rsidTr="007B3EA2"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subject of 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</w:tr>
      <w:tr w:rsidR="003F50B7" w:rsidRPr="007B3EA2" w:rsidTr="007B3EA2">
        <w:trPr>
          <w:trHeight w:val="70"/>
        </w:trPr>
        <w:tc>
          <w:tcPr>
            <w:tcW w:w="9322" w:type="dxa"/>
            <w:shd w:val="clear" w:color="auto" w:fill="auto"/>
          </w:tcPr>
          <w:p w:rsidR="003F50B7" w:rsidRPr="00063340" w:rsidRDefault="003F50B7" w:rsidP="007B3EA2">
            <w:pPr>
              <w:tabs>
                <w:tab w:val="left" w:pos="1134"/>
              </w:tabs>
              <w:spacing w:line="360" w:lineRule="auto"/>
              <w:ind w:firstLine="9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6334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wedging 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forensic land surveying examination</w:t>
            </w:r>
            <w:r w:rsidRPr="00340AB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02" w:type="dxa"/>
            <w:shd w:val="clear" w:color="auto" w:fill="auto"/>
          </w:tcPr>
          <w:p w:rsidR="003F50B7" w:rsidRPr="007B3EA2" w:rsidRDefault="003F50B7" w:rsidP="003F50B7">
            <w:pPr>
              <w:keepLines/>
              <w:tabs>
                <w:tab w:val="left" w:pos="315"/>
              </w:tabs>
              <w:spacing w:line="264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33</w:t>
            </w:r>
          </w:p>
        </w:tc>
      </w:tr>
    </w:tbl>
    <w:p w:rsidR="00F963C9" w:rsidRDefault="00F963C9">
      <w:pPr>
        <w:sectPr w:rsidR="00F963C9" w:rsidSect="003F50B7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/>
          <w:pgMar w:top="964" w:right="851" w:bottom="964" w:left="1418" w:header="720" w:footer="720" w:gutter="0"/>
          <w:cols w:space="720"/>
          <w:docGrid w:linePitch="272"/>
        </w:sectPr>
      </w:pPr>
    </w:p>
    <w:p w:rsidR="00F963C9" w:rsidRDefault="00FF7611">
      <w:pPr>
        <w:shd w:val="clear" w:color="auto" w:fill="FFFFFF"/>
        <w:tabs>
          <w:tab w:val="left" w:pos="142"/>
        </w:tabs>
        <w:spacing w:line="288" w:lineRule="auto"/>
        <w:ind w:right="-2127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br w:type="page"/>
      </w:r>
    </w:p>
    <w:p w:rsidR="00F963C9" w:rsidRPr="00B06289" w:rsidRDefault="00270367">
      <w:pPr>
        <w:pStyle w:val="21"/>
        <w:spacing w:before="24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-24765</wp:posOffset>
                </wp:positionV>
                <wp:extent cx="6350000" cy="0"/>
                <wp:effectExtent l="0" t="0" r="0" b="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0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-1.95pt" to="499.4pt,-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" o:allowincell="f" strokeweight=".26mm">
                <v:stroke joinstyle="miter" endcap="square"/>
              </v:line>
            </w:pict>
          </mc:Fallback>
        </mc:AlternateContent>
      </w:r>
      <w:r w:rsidR="00F963C9" w:rsidRPr="00B06289">
        <w:rPr>
          <w:rFonts w:ascii="Arial" w:hAnsi="Arial" w:cs="Arial"/>
          <w:sz w:val="24"/>
          <w:szCs w:val="24"/>
        </w:rPr>
        <w:t xml:space="preserve">УДК </w:t>
      </w:r>
      <w:r w:rsidR="00F963C9" w:rsidRPr="00B06289">
        <w:rPr>
          <w:rFonts w:ascii="Arial" w:hAnsi="Arial" w:cs="Arial"/>
          <w:sz w:val="24"/>
          <w:szCs w:val="24"/>
          <w:lang w:eastAsia="en-US"/>
        </w:rPr>
        <w:t>006.72: 006.354</w:t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  <w:t xml:space="preserve">  </w:t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</w:r>
      <w:r w:rsidR="00F963C9" w:rsidRPr="00B06289">
        <w:rPr>
          <w:rFonts w:ascii="Arial" w:hAnsi="Arial" w:cs="Arial"/>
          <w:sz w:val="24"/>
          <w:szCs w:val="24"/>
        </w:rPr>
        <w:tab/>
        <w:t xml:space="preserve"> ОКС 01.040.01</w:t>
      </w:r>
    </w:p>
    <w:p w:rsidR="00F963C9" w:rsidRDefault="00F963C9">
      <w:pPr>
        <w:pStyle w:val="21"/>
        <w:spacing w:after="0" w:line="240" w:lineRule="auto"/>
        <w:ind w:left="0"/>
        <w:jc w:val="both"/>
      </w:pPr>
      <w:r w:rsidRPr="00B06289">
        <w:rPr>
          <w:rFonts w:ascii="Arial" w:hAnsi="Arial" w:cs="Arial"/>
          <w:sz w:val="24"/>
          <w:szCs w:val="24"/>
        </w:rPr>
        <w:t xml:space="preserve">Ключевые слова: судебная </w:t>
      </w:r>
      <w:r w:rsidR="0057658A" w:rsidRPr="00B06289">
        <w:rPr>
          <w:rFonts w:ascii="Arial" w:hAnsi="Arial" w:cs="Arial"/>
          <w:sz w:val="24"/>
          <w:szCs w:val="24"/>
        </w:rPr>
        <w:t>землеустроительная</w:t>
      </w:r>
      <w:r w:rsidRPr="00B06289">
        <w:rPr>
          <w:rFonts w:ascii="Arial" w:hAnsi="Arial" w:cs="Arial"/>
          <w:sz w:val="24"/>
          <w:szCs w:val="24"/>
        </w:rPr>
        <w:t xml:space="preserve"> экспертиза, термины и определения</w:t>
      </w:r>
    </w:p>
    <w:p w:rsidR="00F963C9" w:rsidRDefault="00270367">
      <w:pPr>
        <w:pStyle w:val="21"/>
        <w:spacing w:before="240" w:after="0" w:line="240" w:lineRule="auto"/>
        <w:ind w:left="0"/>
        <w:rPr>
          <w:rFonts w:ascii="Arial" w:hAnsi="Arial" w:cs="Arial"/>
          <w:sz w:val="24"/>
          <w:szCs w:val="24"/>
          <w:lang w:val="ru-RU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95250</wp:posOffset>
                </wp:positionV>
                <wp:extent cx="6360160" cy="0"/>
                <wp:effectExtent l="0" t="0" r="0" b="0"/>
                <wp:wrapNone/>
                <wp:docPr id="2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6016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7.5pt" to="501.5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" o:allowincell="f" strokeweight=".26mm">
                <v:stroke joinstyle="miter" endcap="square"/>
              </v:line>
            </w:pict>
          </mc:Fallback>
        </mc:AlternateConten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20"/>
        <w:gridCol w:w="2430"/>
        <w:gridCol w:w="2938"/>
        <w:gridCol w:w="2662"/>
      </w:tblGrid>
      <w:tr w:rsidR="00F963C9">
        <w:tc>
          <w:tcPr>
            <w:tcW w:w="7588" w:type="dxa"/>
            <w:gridSpan w:val="3"/>
            <w:shd w:val="clear" w:color="auto" w:fill="auto"/>
          </w:tcPr>
          <w:p w:rsidR="00F963C9" w:rsidRDefault="00F963C9">
            <w:pPr>
              <w:pStyle w:val="af3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организации-разработчика</w:t>
            </w:r>
          </w:p>
          <w:p w:rsidR="00F963C9" w:rsidRDefault="00F963C9">
            <w:pPr>
              <w:pStyle w:val="af3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Федеральное бюджетное учреждение Российский федеральный центр судебной экспертизы имени профессора А.Р. Шляхова при Министерстве юстиции Российской Федерации</w:t>
            </w:r>
          </w:p>
          <w:p w:rsidR="00F963C9" w:rsidRDefault="00F963C9">
            <w:pPr>
              <w:pStyle w:val="af3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:rsidR="00F963C9" w:rsidRDefault="00F963C9" w:rsidP="00FF7611">
            <w:pPr>
              <w:pStyle w:val="af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организации-разработчика</w:t>
            </w:r>
          </w:p>
        </w:tc>
        <w:tc>
          <w:tcPr>
            <w:tcW w:w="2662" w:type="dxa"/>
            <w:shd w:val="clear" w:color="auto" w:fill="auto"/>
          </w:tcPr>
          <w:p w:rsidR="00F963C9" w:rsidRDefault="00F963C9">
            <w:pPr>
              <w:pStyle w:val="af3"/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63C9">
        <w:tc>
          <w:tcPr>
            <w:tcW w:w="2220" w:type="dxa"/>
            <w:shd w:val="clear" w:color="auto" w:fill="auto"/>
          </w:tcPr>
          <w:p w:rsidR="00F963C9" w:rsidRDefault="00F963C9">
            <w:pPr>
              <w:pStyle w:val="af3"/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963C9" w:rsidRDefault="00F963C9">
            <w:pPr>
              <w:pStyle w:val="af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</w:tcPr>
          <w:p w:rsidR="00F963C9" w:rsidRDefault="00FF7611">
            <w:pPr>
              <w:pStyle w:val="af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Первый заместетль директора</w:t>
            </w:r>
          </w:p>
          <w:p w:rsidR="00F963C9" w:rsidRDefault="00F963C9">
            <w:pPr>
              <w:pStyle w:val="af3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2938" w:type="dxa"/>
            <w:shd w:val="clear" w:color="auto" w:fill="auto"/>
          </w:tcPr>
          <w:p w:rsidR="00F963C9" w:rsidRDefault="00F9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</w:t>
            </w:r>
          </w:p>
          <w:p w:rsidR="00F963C9" w:rsidRDefault="00F963C9">
            <w:pPr>
              <w:pStyle w:val="af3"/>
              <w:tabs>
                <w:tab w:val="left" w:pos="2950"/>
              </w:tabs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личная подпись</w:t>
            </w:r>
          </w:p>
        </w:tc>
        <w:tc>
          <w:tcPr>
            <w:tcW w:w="2662" w:type="dxa"/>
            <w:shd w:val="clear" w:color="auto" w:fill="auto"/>
          </w:tcPr>
          <w:p w:rsidR="00F963C9" w:rsidRDefault="00FF76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А</w:t>
            </w:r>
            <w:r w:rsidR="00F963C9">
              <w:rPr>
                <w:rFonts w:ascii="Arial" w:hAnsi="Arial" w:cs="Arial"/>
                <w:sz w:val="24"/>
                <w:szCs w:val="24"/>
                <w:u w:val="single"/>
              </w:rPr>
              <w:t>.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И</w:t>
            </w:r>
            <w:r w:rsidR="00F963C9">
              <w:rPr>
                <w:rFonts w:ascii="Arial" w:hAnsi="Arial" w:cs="Arial"/>
                <w:sz w:val="24"/>
                <w:szCs w:val="24"/>
                <w:u w:val="single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Усов</w:t>
            </w:r>
          </w:p>
          <w:p w:rsidR="00F963C9" w:rsidRDefault="00F963C9" w:rsidP="00FF7611">
            <w:pPr>
              <w:pStyle w:val="af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инициалы, фамилия</w:t>
            </w:r>
          </w:p>
        </w:tc>
      </w:tr>
      <w:tr w:rsidR="00F963C9">
        <w:tc>
          <w:tcPr>
            <w:tcW w:w="2220" w:type="dxa"/>
            <w:shd w:val="clear" w:color="auto" w:fill="auto"/>
          </w:tcPr>
          <w:p w:rsidR="00F963C9" w:rsidRDefault="00F963C9">
            <w:pPr>
              <w:pStyle w:val="af3"/>
              <w:jc w:val="both"/>
            </w:pPr>
            <w:r>
              <w:rPr>
                <w:rFonts w:ascii="Arial" w:hAnsi="Arial" w:cs="Arial"/>
                <w:sz w:val="24"/>
                <w:szCs w:val="24"/>
              </w:rPr>
              <w:t>Руководитель разработки</w:t>
            </w:r>
          </w:p>
        </w:tc>
        <w:tc>
          <w:tcPr>
            <w:tcW w:w="2430" w:type="dxa"/>
            <w:shd w:val="clear" w:color="auto" w:fill="auto"/>
          </w:tcPr>
          <w:p w:rsidR="00F963C9" w:rsidRDefault="00F963C9">
            <w:pPr>
              <w:pStyle w:val="af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Ученый секретарь</w:t>
            </w:r>
          </w:p>
          <w:p w:rsidR="00F963C9" w:rsidRDefault="00F963C9">
            <w:pPr>
              <w:pStyle w:val="af3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2938" w:type="dxa"/>
            <w:shd w:val="clear" w:color="auto" w:fill="auto"/>
          </w:tcPr>
          <w:p w:rsidR="00F963C9" w:rsidRDefault="00F9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</w:t>
            </w:r>
          </w:p>
          <w:p w:rsidR="00F963C9" w:rsidRDefault="00F963C9">
            <w:pPr>
              <w:pStyle w:val="af3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личная подпись</w:t>
            </w:r>
          </w:p>
        </w:tc>
        <w:tc>
          <w:tcPr>
            <w:tcW w:w="2662" w:type="dxa"/>
            <w:shd w:val="clear" w:color="auto" w:fill="auto"/>
          </w:tcPr>
          <w:p w:rsidR="00F963C9" w:rsidRDefault="00F963C9">
            <w:pPr>
              <w:pStyle w:val="af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Г.Г. Омельянюк</w:t>
            </w:r>
          </w:p>
          <w:p w:rsidR="00F963C9" w:rsidRDefault="00F963C9">
            <w:pPr>
              <w:pStyle w:val="af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инициалы, фамилия</w:t>
            </w:r>
          </w:p>
          <w:p w:rsidR="00F963C9" w:rsidRDefault="00F963C9">
            <w:pPr>
              <w:pStyle w:val="af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63C9">
        <w:tc>
          <w:tcPr>
            <w:tcW w:w="2220" w:type="dxa"/>
            <w:tcBorders>
              <w:bottom w:val="single" w:sz="18" w:space="0" w:color="000000"/>
            </w:tcBorders>
            <w:shd w:val="clear" w:color="auto" w:fill="auto"/>
          </w:tcPr>
          <w:p w:rsidR="00F963C9" w:rsidRDefault="00F963C9">
            <w:pPr>
              <w:pStyle w:val="af3"/>
              <w:jc w:val="both"/>
            </w:pPr>
            <w:r>
              <w:rPr>
                <w:rFonts w:ascii="Arial" w:hAnsi="Arial" w:cs="Arial"/>
                <w:sz w:val="24"/>
                <w:szCs w:val="24"/>
              </w:rPr>
              <w:t>Исполнитель</w:t>
            </w:r>
          </w:p>
        </w:tc>
        <w:tc>
          <w:tcPr>
            <w:tcW w:w="2430" w:type="dxa"/>
            <w:tcBorders>
              <w:bottom w:val="single" w:sz="18" w:space="0" w:color="000000"/>
            </w:tcBorders>
            <w:shd w:val="clear" w:color="auto" w:fill="auto"/>
          </w:tcPr>
          <w:p w:rsidR="00FF7611" w:rsidRPr="00FF7611" w:rsidRDefault="00FF7611" w:rsidP="00FF7611">
            <w:pPr>
              <w:jc w:val="center"/>
              <w:rPr>
                <w:rFonts w:ascii="Arial" w:eastAsia="MS Mincho" w:hAnsi="Arial" w:cs="Arial"/>
                <w:sz w:val="24"/>
                <w:szCs w:val="24"/>
                <w:u w:val="single"/>
              </w:rPr>
            </w:pPr>
            <w:r w:rsidRPr="00FF7611">
              <w:rPr>
                <w:rFonts w:ascii="Arial" w:eastAsia="MS Mincho" w:hAnsi="Arial" w:cs="Arial"/>
                <w:sz w:val="24"/>
                <w:szCs w:val="24"/>
                <w:u w:val="single"/>
              </w:rPr>
              <w:t>Ученый секретарь</w:t>
            </w:r>
          </w:p>
          <w:p w:rsidR="00F963C9" w:rsidRDefault="00FF7611" w:rsidP="00FF7611">
            <w:pPr>
              <w:jc w:val="center"/>
            </w:pPr>
            <w:r w:rsidRPr="00FF7611">
              <w:rPr>
                <w:rFonts w:ascii="Arial" w:eastAsia="MS Mincho" w:hAnsi="Arial" w:cs="Arial"/>
                <w:sz w:val="24"/>
                <w:szCs w:val="24"/>
                <w:u w:val="single"/>
              </w:rPr>
              <w:t>должность</w:t>
            </w:r>
          </w:p>
        </w:tc>
        <w:tc>
          <w:tcPr>
            <w:tcW w:w="2938" w:type="dxa"/>
            <w:tcBorders>
              <w:bottom w:val="single" w:sz="18" w:space="0" w:color="000000"/>
            </w:tcBorders>
            <w:shd w:val="clear" w:color="auto" w:fill="auto"/>
          </w:tcPr>
          <w:p w:rsidR="00F963C9" w:rsidRDefault="00F9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</w:t>
            </w:r>
          </w:p>
          <w:p w:rsidR="00F963C9" w:rsidRDefault="00F963C9">
            <w:pPr>
              <w:pStyle w:val="af3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личная подпись</w:t>
            </w:r>
          </w:p>
        </w:tc>
        <w:tc>
          <w:tcPr>
            <w:tcW w:w="2662" w:type="dxa"/>
            <w:tcBorders>
              <w:bottom w:val="single" w:sz="18" w:space="0" w:color="000000"/>
            </w:tcBorders>
            <w:shd w:val="clear" w:color="auto" w:fill="auto"/>
          </w:tcPr>
          <w:p w:rsidR="00F963C9" w:rsidRDefault="00FF7611">
            <w:pPr>
              <w:pStyle w:val="af3"/>
              <w:jc w:val="center"/>
            </w:pPr>
            <w:r w:rsidRPr="00FF7611">
              <w:rPr>
                <w:rFonts w:ascii="Arial" w:eastAsia="Times New Roman" w:hAnsi="Arial" w:cs="Arial"/>
                <w:sz w:val="24"/>
                <w:szCs w:val="24"/>
                <w:u w:val="single"/>
              </w:rPr>
              <w:t>Г.Г. Омельянюк</w:t>
            </w:r>
            <w:r>
              <w:rPr>
                <w:rFonts w:ascii="Arial" w:eastAsia="Times New Roman" w:hAnsi="Arial" w:cs="Arial"/>
                <w:sz w:val="24"/>
                <w:szCs w:val="24"/>
                <w:u w:val="single"/>
              </w:rPr>
              <w:br/>
            </w:r>
            <w:r w:rsidR="00F963C9">
              <w:rPr>
                <w:rFonts w:ascii="Arial" w:hAnsi="Arial" w:cs="Arial"/>
                <w:sz w:val="24"/>
                <w:szCs w:val="24"/>
              </w:rPr>
              <w:t>инициалы, фамилия</w:t>
            </w:r>
          </w:p>
        </w:tc>
      </w:tr>
    </w:tbl>
    <w:p w:rsidR="00F963C9" w:rsidRDefault="00F963C9">
      <w:pPr>
        <w:rPr>
          <w:rFonts w:ascii="Arial" w:hAnsi="Arial" w:cs="Arial"/>
          <w:sz w:val="24"/>
          <w:szCs w:val="24"/>
        </w:rPr>
      </w:pPr>
    </w:p>
    <w:p w:rsidR="00F963C9" w:rsidRDefault="00F963C9">
      <w:pPr>
        <w:shd w:val="clear" w:color="auto" w:fill="FFFFFF"/>
        <w:spacing w:line="288" w:lineRule="auto"/>
        <w:ind w:firstLine="709"/>
        <w:jc w:val="both"/>
      </w:pPr>
    </w:p>
    <w:sectPr w:rsidR="00F963C9" w:rsidSect="00FF7611">
      <w:type w:val="continuous"/>
      <w:pgSz w:w="11906" w:h="16838"/>
      <w:pgMar w:top="1021" w:right="851" w:bottom="102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AE4" w:rsidRDefault="00586AE4">
      <w:r>
        <w:separator/>
      </w:r>
    </w:p>
  </w:endnote>
  <w:endnote w:type="continuationSeparator" w:id="0">
    <w:p w:rsidR="00586AE4" w:rsidRDefault="00586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>
    <w:pPr>
      <w:pStyle w:val="ae"/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 PAGE </w:instrText>
    </w:r>
    <w:r>
      <w:rPr>
        <w:rFonts w:ascii="Arial" w:hAnsi="Arial" w:cs="Arial"/>
        <w:sz w:val="24"/>
        <w:szCs w:val="24"/>
      </w:rPr>
      <w:fldChar w:fldCharType="separate"/>
    </w:r>
    <w:r w:rsidR="00270367">
      <w:rPr>
        <w:rFonts w:ascii="Arial" w:hAnsi="Arial" w:cs="Arial"/>
        <w:noProof/>
        <w:sz w:val="24"/>
        <w:szCs w:val="24"/>
      </w:rPr>
      <w:t>IV</w:t>
    </w:r>
    <w:r>
      <w:rPr>
        <w:rFonts w:ascii="Arial" w:hAnsi="Arial" w:cs="Arial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>
    <w:pPr>
      <w:pStyle w:val="ae"/>
      <w:jc w:val="right"/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 PAGE </w:instrText>
    </w:r>
    <w:r>
      <w:rPr>
        <w:rFonts w:ascii="Arial" w:hAnsi="Arial" w:cs="Arial"/>
        <w:sz w:val="24"/>
        <w:szCs w:val="24"/>
      </w:rPr>
      <w:fldChar w:fldCharType="separate"/>
    </w:r>
    <w:r w:rsidR="00270367">
      <w:rPr>
        <w:rFonts w:ascii="Arial" w:hAnsi="Arial" w:cs="Arial"/>
        <w:noProof/>
        <w:sz w:val="24"/>
        <w:szCs w:val="24"/>
      </w:rPr>
      <w:t>III</w:t>
    </w:r>
    <w:r>
      <w:rPr>
        <w:rFonts w:ascii="Arial" w:hAnsi="Arial" w:cs="Arial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>
    <w:pPr>
      <w:pStyle w:val="a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>
    <w:pPr>
      <w:pStyle w:val="ae"/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 PAGE </w:instrText>
    </w:r>
    <w:r>
      <w:rPr>
        <w:rFonts w:ascii="Arial" w:hAnsi="Arial" w:cs="Arial"/>
        <w:sz w:val="24"/>
        <w:szCs w:val="24"/>
      </w:rPr>
      <w:fldChar w:fldCharType="separate"/>
    </w:r>
    <w:r w:rsidR="00270367">
      <w:rPr>
        <w:rFonts w:ascii="Arial" w:hAnsi="Arial" w:cs="Arial"/>
        <w:noProof/>
        <w:sz w:val="24"/>
        <w:szCs w:val="24"/>
      </w:rPr>
      <w:t>10</w:t>
    </w:r>
    <w:r>
      <w:rPr>
        <w:rFonts w:ascii="Arial" w:hAnsi="Arial" w:cs="Arial"/>
        <w:sz w:val="24"/>
        <w:szCs w:val="24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>
    <w:pPr>
      <w:pStyle w:val="ae"/>
      <w:jc w:val="right"/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 PAGE </w:instrText>
    </w:r>
    <w:r>
      <w:rPr>
        <w:rFonts w:ascii="Arial" w:hAnsi="Arial" w:cs="Arial"/>
        <w:sz w:val="24"/>
        <w:szCs w:val="24"/>
      </w:rPr>
      <w:fldChar w:fldCharType="separate"/>
    </w:r>
    <w:r w:rsidR="00270367">
      <w:rPr>
        <w:rFonts w:ascii="Arial" w:hAnsi="Arial" w:cs="Arial"/>
        <w:noProof/>
        <w:sz w:val="24"/>
        <w:szCs w:val="24"/>
      </w:rPr>
      <w:t>1</w:t>
    </w:r>
    <w:r>
      <w:rPr>
        <w:rFonts w:ascii="Arial" w:hAnsi="Arial" w:cs="Arial"/>
        <w:sz w:val="24"/>
        <w:szCs w:val="24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>
    <w:pPr>
      <w:pStyle w:val="ae"/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 PAGE </w:instrText>
    </w:r>
    <w:r>
      <w:rPr>
        <w:rFonts w:ascii="Arial" w:hAnsi="Arial" w:cs="Arial"/>
        <w:sz w:val="24"/>
        <w:szCs w:val="24"/>
      </w:rPr>
      <w:fldChar w:fldCharType="separate"/>
    </w:r>
    <w:r w:rsidR="00270367">
      <w:rPr>
        <w:rFonts w:ascii="Arial" w:hAnsi="Arial" w:cs="Arial"/>
        <w:noProof/>
        <w:sz w:val="24"/>
        <w:szCs w:val="24"/>
      </w:rPr>
      <w:t>16</w:t>
    </w:r>
    <w:r>
      <w:rPr>
        <w:rFonts w:ascii="Arial" w:hAnsi="Arial" w:cs="Arial"/>
        <w:sz w:val="24"/>
        <w:szCs w:val="24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>
    <w:pPr>
      <w:pStyle w:val="ae"/>
      <w:jc w:val="right"/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 PAGE </w:instrText>
    </w:r>
    <w:r>
      <w:rPr>
        <w:rFonts w:ascii="Arial" w:hAnsi="Arial" w:cs="Arial"/>
        <w:sz w:val="24"/>
        <w:szCs w:val="24"/>
      </w:rPr>
      <w:fldChar w:fldCharType="separate"/>
    </w:r>
    <w:r w:rsidR="00270367">
      <w:rPr>
        <w:rFonts w:ascii="Arial" w:hAnsi="Arial" w:cs="Arial"/>
        <w:noProof/>
        <w:sz w:val="24"/>
        <w:szCs w:val="24"/>
      </w:rPr>
      <w:t>15</w:t>
    </w:r>
    <w:r>
      <w:rPr>
        <w:rFonts w:ascii="Arial" w:hAnsi="Arial" w:cs="Arial"/>
        <w:sz w:val="24"/>
        <w:szCs w:val="24"/>
      </w:rPr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AE4" w:rsidRDefault="00586AE4">
      <w:r>
        <w:separator/>
      </w:r>
    </w:p>
  </w:footnote>
  <w:footnote w:type="continuationSeparator" w:id="0">
    <w:p w:rsidR="00586AE4" w:rsidRDefault="00586A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>
    <w:pPr>
      <w:pStyle w:val="af"/>
    </w:pPr>
    <w:r>
      <w:rPr>
        <w:rFonts w:ascii="Arial" w:hAnsi="Arial" w:cs="Arial"/>
        <w:b/>
        <w:sz w:val="24"/>
        <w:szCs w:val="24"/>
      </w:rPr>
      <w:t>ГОСТ Р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>
    <w:pPr>
      <w:jc w:val="right"/>
      <w:rPr>
        <w:rFonts w:ascii="Arial" w:hAnsi="Arial" w:cs="Arial"/>
        <w:b/>
        <w:bCs/>
        <w:spacing w:val="20"/>
        <w:sz w:val="24"/>
        <w:szCs w:val="24"/>
      </w:rPr>
    </w:pPr>
    <w:r>
      <w:rPr>
        <w:rFonts w:ascii="Arial" w:hAnsi="Arial" w:cs="Arial"/>
        <w:b/>
        <w:bCs/>
        <w:spacing w:val="20"/>
        <w:sz w:val="24"/>
        <w:szCs w:val="24"/>
      </w:rPr>
      <w:t>ГОСТ Р</w:t>
    </w:r>
  </w:p>
  <w:p w:rsidR="007B3EA2" w:rsidRDefault="007B3EA2">
    <w:pPr>
      <w:pStyle w:val="af"/>
      <w:rPr>
        <w:rFonts w:ascii="Arial" w:hAnsi="Arial" w:cs="Arial"/>
        <w:b/>
        <w:bCs/>
        <w:spacing w:val="20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>
    <w:pPr>
      <w:jc w:val="right"/>
      <w:rPr>
        <w:rFonts w:ascii="Arial" w:hAnsi="Arial" w:cs="Arial"/>
        <w:b/>
        <w:bCs/>
        <w:spacing w:val="20"/>
        <w:sz w:val="24"/>
        <w:szCs w:val="24"/>
      </w:rPr>
    </w:pPr>
    <w:r>
      <w:rPr>
        <w:rFonts w:ascii="Arial" w:hAnsi="Arial" w:cs="Arial"/>
        <w:b/>
        <w:bCs/>
        <w:spacing w:val="20"/>
        <w:sz w:val="24"/>
        <w:szCs w:val="24"/>
      </w:rPr>
      <w:t>ГОСТ Р</w:t>
    </w:r>
  </w:p>
  <w:p w:rsidR="007B3EA2" w:rsidRDefault="007B3EA2">
    <w:pPr>
      <w:pStyle w:val="af"/>
      <w:rPr>
        <w:rFonts w:ascii="Arial" w:hAnsi="Arial" w:cs="Arial"/>
        <w:b/>
        <w:bCs/>
        <w:spacing w:val="20"/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>
    <w:pPr>
      <w:pStyle w:val="af"/>
    </w:pPr>
    <w:r>
      <w:rPr>
        <w:rFonts w:ascii="Arial" w:hAnsi="Arial" w:cs="Arial"/>
        <w:b/>
        <w:sz w:val="24"/>
        <w:szCs w:val="24"/>
      </w:rPr>
      <w:t>ГОСТ Р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>
    <w:pPr>
      <w:jc w:val="right"/>
      <w:rPr>
        <w:rFonts w:ascii="Arial" w:hAnsi="Arial" w:cs="Arial"/>
        <w:b/>
        <w:bCs/>
        <w:spacing w:val="20"/>
        <w:sz w:val="24"/>
        <w:szCs w:val="24"/>
      </w:rPr>
    </w:pPr>
    <w:r>
      <w:rPr>
        <w:rFonts w:ascii="Arial" w:hAnsi="Arial" w:cs="Arial"/>
        <w:b/>
        <w:bCs/>
        <w:spacing w:val="20"/>
        <w:sz w:val="24"/>
        <w:szCs w:val="24"/>
      </w:rPr>
      <w:t>ГОСТ Р</w:t>
    </w:r>
  </w:p>
  <w:p w:rsidR="007B3EA2" w:rsidRDefault="007B3EA2">
    <w:pPr>
      <w:pStyle w:val="af"/>
      <w:rPr>
        <w:rFonts w:ascii="Arial" w:hAnsi="Arial" w:cs="Arial"/>
        <w:b/>
        <w:bCs/>
        <w:spacing w:val="20"/>
        <w:sz w:val="24"/>
        <w:szCs w:val="24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>
    <w:pPr>
      <w:pStyle w:val="af"/>
    </w:pPr>
    <w:r>
      <w:rPr>
        <w:rFonts w:ascii="Arial" w:hAnsi="Arial" w:cs="Arial"/>
        <w:b/>
        <w:sz w:val="24"/>
        <w:szCs w:val="24"/>
      </w:rPr>
      <w:t>ГОСТ Р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>
    <w:pPr>
      <w:jc w:val="right"/>
      <w:rPr>
        <w:rFonts w:ascii="Arial" w:hAnsi="Arial" w:cs="Arial"/>
        <w:b/>
        <w:bCs/>
        <w:spacing w:val="20"/>
        <w:sz w:val="24"/>
        <w:szCs w:val="24"/>
      </w:rPr>
    </w:pPr>
    <w:r>
      <w:rPr>
        <w:rFonts w:ascii="Arial" w:hAnsi="Arial" w:cs="Arial"/>
        <w:b/>
        <w:bCs/>
        <w:spacing w:val="20"/>
        <w:sz w:val="24"/>
        <w:szCs w:val="24"/>
      </w:rPr>
      <w:t>ГОСТ Р</w:t>
    </w:r>
  </w:p>
  <w:p w:rsidR="007B3EA2" w:rsidRDefault="007B3EA2">
    <w:pPr>
      <w:pStyle w:val="af"/>
      <w:rPr>
        <w:rFonts w:ascii="Arial" w:hAnsi="Arial" w:cs="Arial"/>
        <w:b/>
        <w:bCs/>
        <w:spacing w:val="20"/>
        <w:sz w:val="24"/>
        <w:szCs w:val="24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A2" w:rsidRDefault="007B3EA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93D"/>
    <w:rsid w:val="00014821"/>
    <w:rsid w:val="00041124"/>
    <w:rsid w:val="00063340"/>
    <w:rsid w:val="000A5B48"/>
    <w:rsid w:val="000E710B"/>
    <w:rsid w:val="00240633"/>
    <w:rsid w:val="00266384"/>
    <w:rsid w:val="00270367"/>
    <w:rsid w:val="00283B83"/>
    <w:rsid w:val="002D6D4F"/>
    <w:rsid w:val="002D76E9"/>
    <w:rsid w:val="0030393D"/>
    <w:rsid w:val="00340AB5"/>
    <w:rsid w:val="00351D84"/>
    <w:rsid w:val="00381193"/>
    <w:rsid w:val="003911A7"/>
    <w:rsid w:val="003B42D2"/>
    <w:rsid w:val="003D3D82"/>
    <w:rsid w:val="003F50B7"/>
    <w:rsid w:val="004175B5"/>
    <w:rsid w:val="004C0381"/>
    <w:rsid w:val="004D1148"/>
    <w:rsid w:val="00564B6C"/>
    <w:rsid w:val="0057658A"/>
    <w:rsid w:val="00586AE4"/>
    <w:rsid w:val="005D21FE"/>
    <w:rsid w:val="005F4825"/>
    <w:rsid w:val="00656C38"/>
    <w:rsid w:val="006A6061"/>
    <w:rsid w:val="006D35DB"/>
    <w:rsid w:val="006D7153"/>
    <w:rsid w:val="007435C2"/>
    <w:rsid w:val="007B3085"/>
    <w:rsid w:val="007B3EA2"/>
    <w:rsid w:val="007F3559"/>
    <w:rsid w:val="00814779"/>
    <w:rsid w:val="008230A9"/>
    <w:rsid w:val="00872F48"/>
    <w:rsid w:val="008A7CBA"/>
    <w:rsid w:val="008D03B5"/>
    <w:rsid w:val="00987565"/>
    <w:rsid w:val="009F269D"/>
    <w:rsid w:val="00A02429"/>
    <w:rsid w:val="00A31A48"/>
    <w:rsid w:val="00B06289"/>
    <w:rsid w:val="00BB5AC6"/>
    <w:rsid w:val="00C05DC1"/>
    <w:rsid w:val="00CC10B2"/>
    <w:rsid w:val="00D05D2B"/>
    <w:rsid w:val="00D4595E"/>
    <w:rsid w:val="00D4720A"/>
    <w:rsid w:val="00E00F68"/>
    <w:rsid w:val="00E268C8"/>
    <w:rsid w:val="00E62719"/>
    <w:rsid w:val="00F44B49"/>
    <w:rsid w:val="00F61CDE"/>
    <w:rsid w:val="00F963C9"/>
    <w:rsid w:val="00FB23E6"/>
    <w:rsid w:val="00FF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zh-CN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autoSpaceDE/>
      <w:ind w:firstLine="720"/>
      <w:jc w:val="center"/>
      <w:outlineLvl w:val="0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WW8Num9z0">
    <w:name w:val="WW8Num9z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ascii="Times New Roman" w:hAnsi="Times New Roman" w:cs="Times New Roman" w:hint="default"/>
    </w:rPr>
  </w:style>
  <w:style w:type="character" w:customStyle="1" w:styleId="WW8Num12z0">
    <w:name w:val="WW8Num12z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WW8Num13z0">
    <w:name w:val="WW8Num13z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WW8Num14z0">
    <w:name w:val="WW8Num14z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WW8Num15z0">
    <w:name w:val="WW8Num15z0"/>
    <w:rPr>
      <w:rFonts w:ascii="Times New Roman" w:hAnsi="Times New Roman" w:cs="Times New Roman" w:hint="default"/>
    </w:rPr>
  </w:style>
  <w:style w:type="character" w:customStyle="1" w:styleId="WW8Num16z0">
    <w:name w:val="WW8Num16z0"/>
    <w:rPr>
      <w:rFonts w:ascii="Times New Roman" w:hAnsi="Times New Roman" w:cs="Times New Roman" w:hint="default"/>
    </w:rPr>
  </w:style>
  <w:style w:type="character" w:customStyle="1" w:styleId="WW8Num17z0">
    <w:name w:val="WW8Num17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ascii="Times New Roman" w:hAnsi="Times New Roman" w:cs="Times New Roman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10">
    <w:name w:val="Основной шрифт абзаца1"/>
  </w:style>
  <w:style w:type="character" w:customStyle="1" w:styleId="a3">
    <w:name w:val="Символ сноски"/>
    <w:rPr>
      <w:vertAlign w:val="superscript"/>
    </w:rPr>
  </w:style>
  <w:style w:type="character" w:styleId="a4">
    <w:name w:val="page number"/>
    <w:basedOn w:val="10"/>
  </w:style>
  <w:style w:type="character" w:customStyle="1" w:styleId="a5">
    <w:name w:val="Верхний колонтитул Знак"/>
    <w:basedOn w:val="10"/>
  </w:style>
  <w:style w:type="character" w:styleId="a6">
    <w:name w:val="Strong"/>
    <w:qFormat/>
    <w:rPr>
      <w:b/>
      <w:bCs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7">
    <w:name w:val="Основной текст с отступом Знак"/>
    <w:basedOn w:val="10"/>
  </w:style>
  <w:style w:type="character" w:customStyle="1" w:styleId="a8">
    <w:name w:val="Нижний колонтитул Знак"/>
  </w:style>
  <w:style w:type="character" w:styleId="a9">
    <w:name w:val="Hyperlink"/>
    <w:rPr>
      <w:rFonts w:cs="Times New Roman"/>
      <w:color w:val="0000FF"/>
      <w:u w:val="single"/>
    </w:rPr>
  </w:style>
  <w:style w:type="character" w:customStyle="1" w:styleId="None">
    <w:name w:val="None"/>
  </w:style>
  <w:style w:type="paragraph" w:customStyle="1" w:styleId="11">
    <w:name w:val="Заголовок1"/>
    <w:basedOn w:val="a"/>
    <w:next w:val="aa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footnote text"/>
    <w:basedOn w:val="a"/>
  </w:style>
  <w:style w:type="paragraph" w:customStyle="1" w:styleId="13">
    <w:name w:val="Название объекта1"/>
    <w:basedOn w:val="a"/>
    <w:next w:val="a"/>
    <w:pPr>
      <w:spacing w:before="120" w:after="120"/>
    </w:pPr>
    <w:rPr>
      <w:b/>
      <w:bCs/>
    </w:rPr>
  </w:style>
  <w:style w:type="paragraph" w:customStyle="1" w:styleId="22">
    <w:name w:val="Основной текст с отступом 22"/>
    <w:basedOn w:val="a"/>
    <w:pPr>
      <w:widowControl/>
      <w:autoSpaceDE/>
      <w:ind w:firstLine="720"/>
      <w:jc w:val="both"/>
    </w:pPr>
    <w:rPr>
      <w:sz w:val="28"/>
      <w:szCs w:val="28"/>
    </w:r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af0">
    <w:name w:val="Body Text Indent"/>
    <w:basedOn w:val="a"/>
    <w:pPr>
      <w:spacing w:after="120"/>
      <w:ind w:left="283"/>
    </w:pPr>
  </w:style>
  <w:style w:type="paragraph" w:customStyle="1" w:styleId="14">
    <w:name w:val="Абзац списка1"/>
    <w:basedOn w:val="a"/>
    <w:pPr>
      <w:widowControl/>
      <w:autoSpaceDE/>
      <w:spacing w:after="160" w:line="254" w:lineRule="auto"/>
      <w:ind w:left="720"/>
    </w:pPr>
    <w:rPr>
      <w:rFonts w:ascii="Calibri" w:hAnsi="Calibri" w:cs="Calibri"/>
      <w:sz w:val="22"/>
      <w:szCs w:val="22"/>
    </w:rPr>
  </w:style>
  <w:style w:type="paragraph" w:styleId="af1">
    <w:name w:val="List Paragraph"/>
    <w:basedOn w:val="a"/>
    <w:qFormat/>
    <w:pPr>
      <w:widowControl/>
      <w:autoSpaceDE/>
      <w:spacing w:after="160" w:line="254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f2">
    <w:name w:val="Normal (Web)"/>
    <w:basedOn w:val="a"/>
    <w:pPr>
      <w:autoSpaceDE/>
      <w:spacing w:before="280" w:after="280"/>
    </w:pPr>
    <w:rPr>
      <w:rFonts w:ascii="Times" w:eastAsia="MS Mincho" w:hAnsi="Times" w:cs="Times"/>
    </w:rPr>
  </w:style>
  <w:style w:type="paragraph" w:customStyle="1" w:styleId="21">
    <w:name w:val="Основной текст с отступом 21"/>
    <w:basedOn w:val="a"/>
    <w:pPr>
      <w:autoSpaceDE/>
      <w:spacing w:after="120" w:line="480" w:lineRule="auto"/>
      <w:ind w:left="283"/>
    </w:pPr>
    <w:rPr>
      <w:rFonts w:ascii="Cambria" w:eastAsia="MS Mincho" w:hAnsi="Cambria" w:cs="Cambria"/>
    </w:rPr>
  </w:style>
  <w:style w:type="paragraph" w:customStyle="1" w:styleId="af3">
    <w:name w:val="Содержимое таблицы"/>
    <w:basedOn w:val="a"/>
    <w:pPr>
      <w:suppressLineNumbers/>
      <w:autoSpaceDE/>
    </w:pPr>
    <w:rPr>
      <w:rFonts w:ascii="Cambria" w:eastAsia="MS Mincho" w:hAnsi="Cambria" w:cs="Cambria"/>
    </w:r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table" w:styleId="af5">
    <w:name w:val="Table Grid"/>
    <w:basedOn w:val="a1"/>
    <w:uiPriority w:val="39"/>
    <w:rsid w:val="008230A9"/>
    <w:pPr>
      <w:widowControl w:val="0"/>
      <w:autoSpaceDE w:val="0"/>
      <w:autoSpaceDN w:val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zh-CN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autoSpaceDE/>
      <w:ind w:firstLine="720"/>
      <w:jc w:val="center"/>
      <w:outlineLvl w:val="0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WW8Num9z0">
    <w:name w:val="WW8Num9z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ascii="Times New Roman" w:hAnsi="Times New Roman" w:cs="Times New Roman" w:hint="default"/>
    </w:rPr>
  </w:style>
  <w:style w:type="character" w:customStyle="1" w:styleId="WW8Num12z0">
    <w:name w:val="WW8Num12z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WW8Num13z0">
    <w:name w:val="WW8Num13z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WW8Num14z0">
    <w:name w:val="WW8Num14z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WW8Num15z0">
    <w:name w:val="WW8Num15z0"/>
    <w:rPr>
      <w:rFonts w:ascii="Times New Roman" w:hAnsi="Times New Roman" w:cs="Times New Roman" w:hint="default"/>
    </w:rPr>
  </w:style>
  <w:style w:type="character" w:customStyle="1" w:styleId="WW8Num16z0">
    <w:name w:val="WW8Num16z0"/>
    <w:rPr>
      <w:rFonts w:ascii="Times New Roman" w:hAnsi="Times New Roman" w:cs="Times New Roman" w:hint="default"/>
    </w:rPr>
  </w:style>
  <w:style w:type="character" w:customStyle="1" w:styleId="WW8Num17z0">
    <w:name w:val="WW8Num17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ascii="Times New Roman" w:hAnsi="Times New Roman" w:cs="Times New Roman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10">
    <w:name w:val="Основной шрифт абзаца1"/>
  </w:style>
  <w:style w:type="character" w:customStyle="1" w:styleId="a3">
    <w:name w:val="Символ сноски"/>
    <w:rPr>
      <w:vertAlign w:val="superscript"/>
    </w:rPr>
  </w:style>
  <w:style w:type="character" w:styleId="a4">
    <w:name w:val="page number"/>
    <w:basedOn w:val="10"/>
  </w:style>
  <w:style w:type="character" w:customStyle="1" w:styleId="a5">
    <w:name w:val="Верхний колонтитул Знак"/>
    <w:basedOn w:val="10"/>
  </w:style>
  <w:style w:type="character" w:styleId="a6">
    <w:name w:val="Strong"/>
    <w:qFormat/>
    <w:rPr>
      <w:b/>
      <w:bCs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7">
    <w:name w:val="Основной текст с отступом Знак"/>
    <w:basedOn w:val="10"/>
  </w:style>
  <w:style w:type="character" w:customStyle="1" w:styleId="a8">
    <w:name w:val="Нижний колонтитул Знак"/>
  </w:style>
  <w:style w:type="character" w:styleId="a9">
    <w:name w:val="Hyperlink"/>
    <w:rPr>
      <w:rFonts w:cs="Times New Roman"/>
      <w:color w:val="0000FF"/>
      <w:u w:val="single"/>
    </w:rPr>
  </w:style>
  <w:style w:type="character" w:customStyle="1" w:styleId="None">
    <w:name w:val="None"/>
  </w:style>
  <w:style w:type="paragraph" w:customStyle="1" w:styleId="11">
    <w:name w:val="Заголовок1"/>
    <w:basedOn w:val="a"/>
    <w:next w:val="aa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footnote text"/>
    <w:basedOn w:val="a"/>
  </w:style>
  <w:style w:type="paragraph" w:customStyle="1" w:styleId="13">
    <w:name w:val="Название объекта1"/>
    <w:basedOn w:val="a"/>
    <w:next w:val="a"/>
    <w:pPr>
      <w:spacing w:before="120" w:after="120"/>
    </w:pPr>
    <w:rPr>
      <w:b/>
      <w:bCs/>
    </w:rPr>
  </w:style>
  <w:style w:type="paragraph" w:customStyle="1" w:styleId="22">
    <w:name w:val="Основной текст с отступом 22"/>
    <w:basedOn w:val="a"/>
    <w:pPr>
      <w:widowControl/>
      <w:autoSpaceDE/>
      <w:ind w:firstLine="720"/>
      <w:jc w:val="both"/>
    </w:pPr>
    <w:rPr>
      <w:sz w:val="28"/>
      <w:szCs w:val="28"/>
    </w:r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af0">
    <w:name w:val="Body Text Indent"/>
    <w:basedOn w:val="a"/>
    <w:pPr>
      <w:spacing w:after="120"/>
      <w:ind w:left="283"/>
    </w:pPr>
  </w:style>
  <w:style w:type="paragraph" w:customStyle="1" w:styleId="14">
    <w:name w:val="Абзац списка1"/>
    <w:basedOn w:val="a"/>
    <w:pPr>
      <w:widowControl/>
      <w:autoSpaceDE/>
      <w:spacing w:after="160" w:line="254" w:lineRule="auto"/>
      <w:ind w:left="720"/>
    </w:pPr>
    <w:rPr>
      <w:rFonts w:ascii="Calibri" w:hAnsi="Calibri" w:cs="Calibri"/>
      <w:sz w:val="22"/>
      <w:szCs w:val="22"/>
    </w:rPr>
  </w:style>
  <w:style w:type="paragraph" w:styleId="af1">
    <w:name w:val="List Paragraph"/>
    <w:basedOn w:val="a"/>
    <w:qFormat/>
    <w:pPr>
      <w:widowControl/>
      <w:autoSpaceDE/>
      <w:spacing w:after="160" w:line="254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f2">
    <w:name w:val="Normal (Web)"/>
    <w:basedOn w:val="a"/>
    <w:pPr>
      <w:autoSpaceDE/>
      <w:spacing w:before="280" w:after="280"/>
    </w:pPr>
    <w:rPr>
      <w:rFonts w:ascii="Times" w:eastAsia="MS Mincho" w:hAnsi="Times" w:cs="Times"/>
    </w:rPr>
  </w:style>
  <w:style w:type="paragraph" w:customStyle="1" w:styleId="21">
    <w:name w:val="Основной текст с отступом 21"/>
    <w:basedOn w:val="a"/>
    <w:pPr>
      <w:autoSpaceDE/>
      <w:spacing w:after="120" w:line="480" w:lineRule="auto"/>
      <w:ind w:left="283"/>
    </w:pPr>
    <w:rPr>
      <w:rFonts w:ascii="Cambria" w:eastAsia="MS Mincho" w:hAnsi="Cambria" w:cs="Cambria"/>
    </w:rPr>
  </w:style>
  <w:style w:type="paragraph" w:customStyle="1" w:styleId="af3">
    <w:name w:val="Содержимое таблицы"/>
    <w:basedOn w:val="a"/>
    <w:pPr>
      <w:suppressLineNumbers/>
      <w:autoSpaceDE/>
    </w:pPr>
    <w:rPr>
      <w:rFonts w:ascii="Cambria" w:eastAsia="MS Mincho" w:hAnsi="Cambria" w:cs="Cambria"/>
    </w:r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table" w:styleId="af5">
    <w:name w:val="Table Grid"/>
    <w:basedOn w:val="a1"/>
    <w:uiPriority w:val="39"/>
    <w:rsid w:val="008230A9"/>
    <w:pPr>
      <w:widowControl w:val="0"/>
      <w:autoSpaceDE w:val="0"/>
      <w:autoSpaceDN w:val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6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http://www.rst.gov.ru/" TargetMode="Externa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3082</Words>
  <Characters>23613</Characters>
  <Application>Microsoft Office Word</Application>
  <DocSecurity>0</DocSecurity>
  <Lines>437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 и</vt:lpstr>
    </vt:vector>
  </TitlesOfParts>
  <Company/>
  <LinksUpToDate>false</LinksUpToDate>
  <CharactersWithSpaces>26546</CharactersWithSpaces>
  <SharedDoc>false</SharedDoc>
  <HLinks>
    <vt:vector size="6" baseType="variant">
      <vt:variant>
        <vt:i4>6357049</vt:i4>
      </vt:variant>
      <vt:variant>
        <vt:i4>0</vt:i4>
      </vt:variant>
      <vt:variant>
        <vt:i4>0</vt:i4>
      </vt:variant>
      <vt:variant>
        <vt:i4>5</vt:i4>
      </vt:variant>
      <vt:variant>
        <vt:lpwstr>http://www.rst.gov.ru/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 и</dc:title>
  <dc:creator>User</dc:creator>
  <cp:lastModifiedBy>Larisa</cp:lastModifiedBy>
  <cp:revision>2</cp:revision>
  <cp:lastPrinted>2026-03-23T15:14:00Z</cp:lastPrinted>
  <dcterms:created xsi:type="dcterms:W3CDTF">2026-04-03T14:51:00Z</dcterms:created>
  <dcterms:modified xsi:type="dcterms:W3CDTF">2026-04-03T14:51:00Z</dcterms:modified>
</cp:coreProperties>
</file>