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D29" w:rsidRDefault="003F7D29">
      <w:pPr>
        <w:pStyle w:val="a3"/>
        <w:spacing w:after="0" w:line="360" w:lineRule="auto"/>
        <w:jc w:val="center"/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</w:rPr>
        <w:t>РОССИЙСКАЯ ФЕДЕРАЦИЯ</w:t>
      </w:r>
    </w:p>
    <w:p w:rsidR="003F7D29" w:rsidRDefault="003F7D29">
      <w:pPr>
        <w:pStyle w:val="a3"/>
        <w:spacing w:after="0" w:line="360" w:lineRule="auto"/>
        <w:jc w:val="center"/>
        <w:rPr>
          <w:rFonts w:ascii="Arial" w:hAnsi="Arial"/>
        </w:rPr>
      </w:pPr>
      <w:r>
        <w:rPr>
          <w:rFonts w:ascii="Arial" w:hAnsi="Arial"/>
          <w:b/>
        </w:rPr>
        <w:t xml:space="preserve">ФЕДЕРАЛЬНЫЙ ЗАКОН </w:t>
      </w:r>
    </w:p>
    <w:p w:rsidR="003F7D29" w:rsidRDefault="003F7D29">
      <w:pPr>
        <w:pStyle w:val="a3"/>
        <w:spacing w:after="0" w:line="360" w:lineRule="auto"/>
        <w:jc w:val="center"/>
        <w:rPr>
          <w:rFonts w:ascii="Arial" w:hAnsi="Arial"/>
        </w:rPr>
      </w:pPr>
      <w:r>
        <w:rPr>
          <w:rFonts w:ascii="Arial" w:hAnsi="Arial"/>
          <w:b/>
          <w:caps/>
        </w:rPr>
        <w:t xml:space="preserve">О </w:t>
      </w:r>
      <w:r>
        <w:rPr>
          <w:rFonts w:ascii="Arial" w:hAnsi="Arial"/>
          <w:b/>
          <w:caps/>
          <w:lang w:val="ru-RU"/>
        </w:rPr>
        <w:t xml:space="preserve">ПРАВОВОМ РЕГУЛИРОВАНИИ В ОБЛАСТИ </w:t>
      </w:r>
      <w:r>
        <w:rPr>
          <w:rFonts w:ascii="Arial" w:hAnsi="Arial"/>
          <w:b/>
          <w:caps/>
        </w:rPr>
        <w:t xml:space="preserve">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 </w:t>
      </w:r>
      <w:r>
        <w:rPr>
          <w:rFonts w:ascii="Arial" w:hAnsi="Arial"/>
          <w:b/>
        </w:rPr>
        <w:t xml:space="preserve">И О ВНЕСЕНИИ ИЗМЕНЕНИЙ В ОТДЕЛЬНЫЕ ЗАКОНОДАТЕЛЬНЫЕ АКТЫ РОССИЙСКОЙ ФЕДЕРАЦИИ </w:t>
      </w:r>
    </w:p>
    <w:p w:rsidR="003F7D29" w:rsidRDefault="003F7D29">
      <w:pPr>
        <w:pStyle w:val="a3"/>
        <w:spacing w:after="0" w:line="360" w:lineRule="auto"/>
        <w:jc w:val="center"/>
        <w:rPr>
          <w:b/>
        </w:rPr>
      </w:pPr>
    </w:p>
    <w:p w:rsidR="003F7D29" w:rsidRDefault="003F7D29">
      <w:pPr>
        <w:spacing w:line="360" w:lineRule="auto"/>
        <w:ind w:firstLine="567"/>
        <w:rPr>
          <w:rFonts w:ascii="Arial" w:hAnsi="Arial"/>
        </w:rPr>
      </w:pPr>
      <w:r>
        <w:rPr>
          <w:rFonts w:ascii="Arial" w:hAnsi="Arial"/>
          <w:b/>
          <w:lang w:val="ru-RU"/>
        </w:rPr>
        <w:t>Статья 1. Предмет регулирования</w:t>
      </w:r>
    </w:p>
    <w:p w:rsidR="003F7D29" w:rsidRDefault="003F7D29">
      <w:pPr>
        <w:spacing w:line="360" w:lineRule="auto"/>
        <w:ind w:firstLine="567"/>
        <w:jc w:val="both"/>
        <w:rPr>
          <w:rFonts w:ascii="Arial" w:hAnsi="Arial"/>
        </w:rPr>
      </w:pPr>
      <w:r>
        <w:rPr>
          <w:rFonts w:ascii="Arial" w:hAnsi="Arial"/>
        </w:rPr>
        <w:t xml:space="preserve">Настоящий Федеральный закон устанавливает правовые </w:t>
      </w:r>
      <w:r>
        <w:rPr>
          <w:rFonts w:ascii="Arial" w:hAnsi="Arial"/>
          <w:lang w:val="ru-RU"/>
        </w:rPr>
        <w:t>основы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 (далее - опасные технические устройства зданий и сооружений), порядок проведения капитального и текущего ремонта, порядок осуществления государственного контроля (надзора) в области безопасного использования  и содержания опасных технических устройств зданий и сооружений.</w:t>
      </w:r>
    </w:p>
    <w:p w:rsidR="003F7D29" w:rsidRDefault="003F7D29">
      <w:pPr>
        <w:spacing w:line="360" w:lineRule="auto"/>
        <w:ind w:firstLine="567"/>
        <w:jc w:val="both"/>
        <w:rPr>
          <w:lang w:val="ru-RU"/>
        </w:rPr>
      </w:pPr>
    </w:p>
    <w:p w:rsidR="003F7D29" w:rsidRDefault="003F7D29">
      <w:pPr>
        <w:spacing w:line="360" w:lineRule="auto"/>
        <w:ind w:firstLine="567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Статья 2. Правовые основы </w:t>
      </w:r>
      <w:r>
        <w:rPr>
          <w:rFonts w:ascii="Arial" w:hAnsi="Arial"/>
          <w:b/>
          <w:bCs/>
          <w:lang w:val="ru-RU"/>
        </w:rPr>
        <w:t>безопасного использования и содержания  опасных технических устройств зданий и сооружений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 xml:space="preserve">Правовое регулирование </w:t>
      </w:r>
      <w:r>
        <w:rPr>
          <w:rFonts w:ascii="Arial" w:hAnsi="Arial"/>
          <w:lang w:val="ru-RU"/>
        </w:rPr>
        <w:t xml:space="preserve">безопасного использования и содержания  опасных технических устройств зданий и сооружений </w:t>
      </w:r>
      <w:r>
        <w:rPr>
          <w:rFonts w:ascii="Arial" w:hAnsi="Arial"/>
        </w:rPr>
        <w:t>основывается на</w:t>
      </w:r>
      <w:r>
        <w:rPr>
          <w:rFonts w:ascii="Arial" w:hAnsi="Arial"/>
          <w:lang w:val="ru-RU"/>
        </w:rPr>
        <w:t xml:space="preserve">Конституции Российской Федерации, нормативных правовых актах Евразийского экономического союза </w:t>
      </w:r>
      <w:r>
        <w:rPr>
          <w:rFonts w:ascii="Arial" w:hAnsi="Arial"/>
        </w:rPr>
        <w:t xml:space="preserve">и состоит из настоящего Федерального закона, иных нормативных правовых актов Российской Федерации и нормативных правовых актов субъектов Российской Федерации, принимаемых в соответствии с настоящим Федеральным законом.   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b/>
        </w:rPr>
      </w:pP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  <w:b/>
        </w:rPr>
        <w:t>Статья 3. Основные понятия, используемые в настоящем Федеральном законе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1. В целях настоящего Федерального закона используются следующие основные понятия: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  <w:highlight w:val="yellow"/>
        </w:rPr>
      </w:pPr>
      <w:r>
        <w:rPr>
          <w:rFonts w:ascii="Arial" w:hAnsi="Arial"/>
          <w:highlight w:val="yellow"/>
        </w:rPr>
        <w:t>1)</w:t>
      </w:r>
      <w:r>
        <w:rPr>
          <w:rFonts w:ascii="Arial" w:hAnsi="Arial"/>
          <w:highlight w:val="yellow"/>
          <w:lang w:val="ru-RU"/>
        </w:rPr>
        <w:t xml:space="preserve"> надо соориентироваться — откуда берем из 1744 или ТР ТС??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  <w:highlight w:val="yellow"/>
        </w:rPr>
      </w:pPr>
      <w:r>
        <w:rPr>
          <w:rFonts w:ascii="Arial" w:hAnsi="Arial"/>
          <w:highlight w:val="yellow"/>
          <w:lang w:val="ru-RU"/>
        </w:rPr>
        <w:t>ЧТО ОБЯЗАТЕЛЬНО НАДО капитальный и текущий ремонт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lang w:val="ru-RU"/>
        </w:rPr>
      </w:pP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  <w:b/>
          <w:bCs/>
          <w:lang w:val="ru-RU"/>
        </w:rPr>
        <w:lastRenderedPageBreak/>
        <w:t>Статья 4. Полномочия федеральных органов исполнительной власти в области безопасного использования и содержания  опасных технических устройств зданий и сооружений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 xml:space="preserve">К полномочиям федеральных органов исполнительной власти в области </w:t>
      </w:r>
      <w:r>
        <w:rPr>
          <w:rFonts w:ascii="Arial" w:hAnsi="Arial"/>
          <w:bCs/>
          <w:lang w:val="ru-RU"/>
        </w:rPr>
        <w:t>безопасного использования и содержания  опасных технических устройств зданий и сооружений</w:t>
      </w:r>
      <w:r>
        <w:rPr>
          <w:rFonts w:ascii="Arial" w:hAnsi="Arial"/>
        </w:rPr>
        <w:t xml:space="preserve"> относятся: 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 xml:space="preserve">1) определение основных направлений государственной политики и установление основ правового регулирования в области </w:t>
      </w:r>
      <w:r>
        <w:rPr>
          <w:rFonts w:ascii="Arial" w:hAnsi="Arial"/>
          <w:bCs/>
          <w:lang w:val="ru-RU"/>
        </w:rPr>
        <w:t>безопасного использования и содержания  опасных технических устройств зданий и сооружений</w:t>
      </w:r>
      <w:r>
        <w:rPr>
          <w:rFonts w:ascii="Arial" w:hAnsi="Arial"/>
        </w:rPr>
        <w:t xml:space="preserve">; 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 xml:space="preserve">2) утверждение типовых правил технической эксплуатации </w:t>
      </w:r>
      <w:r>
        <w:rPr>
          <w:rFonts w:ascii="Arial" w:hAnsi="Arial"/>
          <w:bCs/>
          <w:lang w:val="ru-RU"/>
        </w:rPr>
        <w:t>опасных технических устройств зданий и сооружений</w:t>
      </w:r>
      <w:r>
        <w:rPr>
          <w:rFonts w:ascii="Arial" w:hAnsi="Arial"/>
        </w:rPr>
        <w:t xml:space="preserve">; 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3) определение порядка расследования и учета происшествий, аварий и чрезвычайных ситуаций техногенного характера</w:t>
      </w:r>
      <w:r>
        <w:rPr>
          <w:rFonts w:ascii="Arial" w:hAnsi="Arial"/>
          <w:lang w:val="ru-RU"/>
        </w:rPr>
        <w:t xml:space="preserve">в связи с использованием опасных </w:t>
      </w:r>
      <w:r>
        <w:rPr>
          <w:rFonts w:ascii="Arial" w:hAnsi="Arial"/>
          <w:bCs/>
          <w:lang w:val="ru-RU"/>
        </w:rPr>
        <w:t>технических устройств зданий и сооружений;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  <w:bCs/>
          <w:lang w:val="ru-RU"/>
        </w:rPr>
        <w:t>4</w:t>
      </w:r>
      <w:r>
        <w:rPr>
          <w:rFonts w:ascii="Arial" w:hAnsi="Arial"/>
        </w:rPr>
        <w:t xml:space="preserve">) определение порядка работы юридических лиц или индивидуальных предпринимателей, осуществляющих </w:t>
      </w:r>
      <w:r>
        <w:rPr>
          <w:rFonts w:ascii="Arial" w:hAnsi="Arial"/>
          <w:lang w:val="ru-RU"/>
        </w:rPr>
        <w:t xml:space="preserve">монтаж, техническое обслуживание и ремонт </w:t>
      </w:r>
      <w:r>
        <w:rPr>
          <w:rFonts w:ascii="Arial" w:hAnsi="Arial"/>
          <w:bCs/>
          <w:lang w:val="ru-RU"/>
        </w:rPr>
        <w:t>опасных технических устройств зданий и сооружений</w:t>
      </w:r>
      <w:r>
        <w:rPr>
          <w:rFonts w:ascii="Arial" w:hAnsi="Arial"/>
        </w:rPr>
        <w:t xml:space="preserve">; 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5) осуществление полномочий, отнесенных настоящим Федеральным законом, другими федеральными законами к компетенции федеральных органов исполнительной власти;</w:t>
      </w:r>
    </w:p>
    <w:p w:rsidR="003F7D29" w:rsidRDefault="003F7D29">
      <w:pPr>
        <w:pStyle w:val="a3"/>
        <w:spacing w:after="0" w:line="360" w:lineRule="auto"/>
        <w:ind w:firstLine="540"/>
        <w:jc w:val="both"/>
      </w:pPr>
      <w:r>
        <w:rPr>
          <w:rFonts w:ascii="Arial" w:hAnsi="Arial" w:cs="Times New Roman"/>
          <w:szCs w:val="28"/>
          <w:lang w:val="en-GB" w:eastAsia="ru-RU"/>
        </w:rPr>
        <w:t>6) утверждение т</w:t>
      </w:r>
      <w:hyperlink r:id="rId5">
        <w:r>
          <w:rPr>
            <w:rFonts w:ascii="Arial" w:hAnsi="Arial" w:cs="Times New Roman"/>
            <w:szCs w:val="28"/>
            <w:lang w:val="ru-RU" w:eastAsia="ru-RU"/>
          </w:rPr>
          <w:t>иповой</w:t>
        </w:r>
      </w:hyperlink>
      <w:r>
        <w:rPr>
          <w:rFonts w:ascii="Arial" w:hAnsi="Arial" w:cs="Times New Roman"/>
          <w:szCs w:val="28"/>
          <w:lang w:val="ru-RU" w:eastAsia="ru-RU"/>
        </w:rPr>
        <w:t>формы</w:t>
      </w:r>
      <w:r>
        <w:rPr>
          <w:rFonts w:ascii="Arial" w:hAnsi="Arial" w:cs="Times New Roman"/>
          <w:szCs w:val="28"/>
          <w:lang w:eastAsia="ru-RU"/>
        </w:rPr>
        <w:t xml:space="preserve"> договора о техническом обслуживании </w:t>
      </w:r>
      <w:r>
        <w:rPr>
          <w:rFonts w:ascii="Arial" w:hAnsi="Arial" w:cs="Times New Roman"/>
          <w:szCs w:val="28"/>
          <w:lang w:val="ru-RU" w:eastAsia="ru-RU"/>
        </w:rPr>
        <w:t>опасных технических устройств зданий и сооружений;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  <w:lang w:val="ru-RU"/>
        </w:rPr>
      </w:pPr>
      <w:r>
        <w:rPr>
          <w:rFonts w:ascii="Arial" w:hAnsi="Arial"/>
          <w:lang w:val="ru-RU"/>
        </w:rPr>
        <w:t xml:space="preserve">7) утверждение порядка расчета </w:t>
      </w:r>
      <w:r>
        <w:rPr>
          <w:rFonts w:ascii="Arial" w:hAnsi="Arial" w:cs="Times New Roman"/>
          <w:szCs w:val="28"/>
          <w:lang w:val="ru-RU" w:eastAsia="ru-RU"/>
        </w:rPr>
        <w:t>платы за техническое обслуживание опасных технических устройств зданий и сооружений.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cs="Times New Roman"/>
          <w:szCs w:val="28"/>
          <w:lang w:val="ru-RU" w:eastAsia="ru-RU"/>
        </w:rPr>
      </w:pP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  <w:b/>
        </w:rPr>
      </w:pPr>
      <w:r>
        <w:rPr>
          <w:rFonts w:ascii="Arial" w:hAnsi="Arial" w:cs="Times New Roman"/>
          <w:b/>
          <w:szCs w:val="28"/>
          <w:lang w:val="ru-RU" w:eastAsia="ru-RU"/>
        </w:rPr>
        <w:t>Статья 5. Монтаж, техническое обслуживание и ремонт опасных технических устройств зданий и сооружений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1. Техническая эксплуатация </w:t>
      </w:r>
      <w:r>
        <w:rPr>
          <w:rFonts w:ascii="Arial" w:hAnsi="Arial"/>
          <w:lang w:val="ru-RU"/>
        </w:rPr>
        <w:t>опасных технических устройств зданий и сооружений</w:t>
      </w:r>
      <w:r>
        <w:rPr>
          <w:rFonts w:ascii="Arial" w:hAnsi="Arial"/>
        </w:rPr>
        <w:t xml:space="preserve"> осуществляется в </w:t>
      </w:r>
      <w:r>
        <w:rPr>
          <w:rFonts w:ascii="Arial" w:hAnsi="Arial"/>
          <w:lang w:val="ru-RU"/>
        </w:rPr>
        <w:t xml:space="preserve">требованиями, установленными техническим регламентом Таможенного союза "Безопасность лифтов" (ТР ТС 011/2011) и технического регламента Таможенного союза "О безопасности машин и оборудования" (ТР ТС 010/2011) (далее соответственно - технический регламент Таможенного союза "Безопасность лифтов", технический регламент Таможенного союза "О безопасности машин и оборудования"), настоящим Федеральным законом, а также принимаемыми в соответствии с ними иными нормативными правовыми </w:t>
      </w:r>
      <w:r>
        <w:rPr>
          <w:rFonts w:ascii="Arial" w:hAnsi="Arial"/>
          <w:lang w:val="ru-RU"/>
        </w:rPr>
        <w:lastRenderedPageBreak/>
        <w:t>актами.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 w:cs="Times New Roman"/>
          <w:szCs w:val="28"/>
          <w:lang w:val="ru-RU" w:eastAsia="ru-RU"/>
        </w:rPr>
        <w:t>2. Техническое обслуживание опасных технических устройств зданий и сооружений осуществляется специализированными организациями, требования к которым устанавливаются Правительством Российской Федерации (далее – специализированная организация).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 w:cs="Times New Roman"/>
          <w:szCs w:val="28"/>
          <w:lang w:val="ru-RU" w:eastAsia="ru-RU"/>
        </w:rPr>
        <w:t>3. Работы по монтажу, техническому обслуживанию и ремонту выполняются работниками специализированной организации - физическими лицами, уровень квалификаци</w:t>
      </w:r>
      <w:r>
        <w:rPr>
          <w:rFonts w:ascii="Arial" w:hAnsi="Arial" w:cs="Times New Roman"/>
          <w:bCs/>
          <w:szCs w:val="28"/>
          <w:lang w:val="ru-RU" w:eastAsia="ru-RU"/>
        </w:rPr>
        <w:t>и которых соответствует требованиям к квалификации, необходимой для выполнения трудовой функции по выполнению соответствующего вида (видов) работ по монтажу, демонтажу, эксплуатации, в том числе обслуживанию и ремонту, техническому освидетельствованию и обследованию объекта, в соответствии с положениями профессиональных стандартов, устанавливающих характеристики квалификации для выполнения соответствующих видов работ, подтвердившие соответствие своей квалификации в порядке, предусмотренном Федеральным закон</w:t>
      </w:r>
      <w:r>
        <w:rPr>
          <w:rFonts w:ascii="Arial" w:hAnsi="Arial" w:cs="Times New Roman"/>
          <w:szCs w:val="28"/>
          <w:lang w:val="ru-RU" w:eastAsia="ru-RU"/>
        </w:rPr>
        <w:t>ом "О независимой оценке квалификации".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 w:cs="Times New Roman"/>
          <w:szCs w:val="28"/>
          <w:lang w:val="ru-RU" w:eastAsia="ru-RU"/>
        </w:rPr>
        <w:t xml:space="preserve">4. </w:t>
      </w:r>
      <w:bookmarkStart w:id="1" w:name="_Hlk18290744112"/>
      <w:r>
        <w:rPr>
          <w:rFonts w:ascii="Arial" w:hAnsi="Arial" w:cs="Times New Roman"/>
          <w:szCs w:val="28"/>
          <w:lang w:val="ru-RU" w:eastAsia="ru-RU"/>
        </w:rPr>
        <w:t>Техническое обслуживание опасных технических устройств зданий и сооружений осуществляется специализированной организацией на основании договора о техническом обслуживании опасных технических устройств зданий и сооружений  заключенного с владельцем объекта, управляющей организацией, товариществом собственников жилья либо жилищным кооперативом или иным специализированным потребительским кооперативом, а при непосредственном управлении многоквартирным домом - с собственниками помещений в таком доме, а также с лицами, ответственными за содержание помещений в многоквартирном доме</w:t>
      </w:r>
      <w:bookmarkEnd w:id="1"/>
      <w:r>
        <w:rPr>
          <w:rFonts w:ascii="Arial" w:hAnsi="Arial" w:cs="Times New Roman"/>
          <w:szCs w:val="28"/>
          <w:lang w:val="ru-RU" w:eastAsia="ru-RU"/>
        </w:rPr>
        <w:t>, в том числе с застройщиком, с момента выдачи им разрешения на ввод многоквартирного дома в эксплуатацию до момента передачи данных помещений иным лицам по передаточному акту или иному документу о передаче.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 w:cs="Times New Roman"/>
          <w:szCs w:val="28"/>
          <w:lang w:val="ru-RU" w:eastAsia="ru-RU"/>
        </w:rPr>
        <w:t xml:space="preserve">5. Порядок </w:t>
      </w:r>
      <w:r>
        <w:rPr>
          <w:rFonts w:ascii="Arial" w:hAnsi="Arial"/>
        </w:rPr>
        <w:t>расследования и учета происшествий, аварий и чрезвычайных ситуаций техногенного характера</w:t>
      </w:r>
      <w:r>
        <w:rPr>
          <w:rFonts w:ascii="Arial" w:hAnsi="Arial"/>
          <w:lang w:val="ru-RU"/>
        </w:rPr>
        <w:t xml:space="preserve">в связи с использованием опасных </w:t>
      </w:r>
      <w:r>
        <w:rPr>
          <w:rFonts w:ascii="Arial" w:hAnsi="Arial"/>
          <w:bCs/>
          <w:lang w:val="ru-RU"/>
        </w:rPr>
        <w:t xml:space="preserve">технических устройств зданий и сооружений </w:t>
      </w:r>
      <w:r>
        <w:rPr>
          <w:rFonts w:ascii="Arial" w:hAnsi="Arial"/>
        </w:rPr>
        <w:t xml:space="preserve">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установленной сфере деятельности, а также в сфере технологического и атомного надзора, функции по контролю (надзору) в сфере безопасного ведения работ, связанных с пользованием недрами, промышленной безопасности, безопасности при использовании атомной энергии (за исключением деятельности по разработке, </w:t>
      </w:r>
      <w:r>
        <w:rPr>
          <w:rFonts w:ascii="Arial" w:hAnsi="Arial"/>
        </w:rPr>
        <w:lastRenderedPageBreak/>
        <w:t>изготовлению, испытанию, эксплуатации и утилизации ядерного оружия и ядерных энергетических установок военного назначения), безопасности электрических и тепловых установок и сетей (кроме бытовых установок и сетей), безопасности гидротехнических сооружений (за исключением судоходных и портовых гидротехнических сооружений), безопасности производства, хранения и применения взрывчатых материалов промышленного назначения, а также специальные функции в области государственной безопасности в указанной сфере.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 w:cs="Times New Roman"/>
          <w:szCs w:val="28"/>
          <w:lang w:val="ru-RU" w:eastAsia="ru-RU"/>
        </w:rPr>
        <w:t xml:space="preserve">6. </w:t>
      </w:r>
      <w:r>
        <w:rPr>
          <w:rFonts w:ascii="Arial" w:hAnsi="Arial" w:cs="Times New Roman"/>
          <w:szCs w:val="28"/>
          <w:lang w:eastAsia="ru-RU"/>
        </w:rPr>
        <w:t>Специализированной организации обязана направить уведомление о начале осуществлени</w:t>
      </w:r>
      <w:r>
        <w:rPr>
          <w:rFonts w:ascii="Arial" w:hAnsi="Arial" w:cs="Times New Roman"/>
          <w:color w:val="auto"/>
          <w:szCs w:val="28"/>
          <w:lang w:val="ru-RU" w:eastAsia="ru-RU"/>
        </w:rPr>
        <w:t>я предпринимательской деятельности в соответствии с требованиями Федерального закона от 26.12.2008 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3F7D29" w:rsidRDefault="003F7D29">
      <w:pPr>
        <w:spacing w:line="360" w:lineRule="auto"/>
        <w:ind w:firstLine="709"/>
        <w:jc w:val="both"/>
      </w:pPr>
      <w:r>
        <w:rPr>
          <w:rFonts w:ascii="Arial" w:hAnsi="Arial" w:cs="Times New Roman"/>
          <w:color w:val="auto"/>
          <w:szCs w:val="28"/>
          <w:lang w:val="ru-RU" w:eastAsia="ru-RU"/>
        </w:rPr>
        <w:t xml:space="preserve">7. Размер платы за техническое обслуживание опасных технических устройств зданий и сооружений рассчитывается в порядке, установленном </w:t>
      </w:r>
      <w:hyperlink r:id="rId6">
        <w:r>
          <w:rPr>
            <w:rFonts w:ascii="Arial" w:hAnsi="Arial" w:cs="Times New Roman"/>
            <w:color w:val="auto"/>
            <w:szCs w:val="28"/>
            <w:lang w:val="ru-RU" w:eastAsia="ru-RU"/>
          </w:rPr>
          <w:t>методическими указаниями</w:t>
        </w:r>
      </w:hyperlink>
      <w:r>
        <w:rPr>
          <w:rFonts w:ascii="Arial" w:hAnsi="Arial" w:cs="Times New Roman"/>
          <w:color w:val="auto"/>
          <w:szCs w:val="28"/>
          <w:lang w:val="ru-RU" w:eastAsia="ru-RU"/>
        </w:rPr>
        <w:t>, утвержденными уполномоченным Правительством Российской Федерации федеральным органом исполнительной власти. Размер платы, определяемый в соответствии с настоящим пунктом, должен учитывать затраты на текущий и капитальный ремонт лифтового и диспетчерского оборудования в рамках срока службы указанного оборудования.</w:t>
      </w:r>
    </w:p>
    <w:p w:rsidR="003F7D29" w:rsidRDefault="003F7D29">
      <w:pPr>
        <w:spacing w:line="360" w:lineRule="auto"/>
        <w:ind w:firstLine="709"/>
        <w:jc w:val="both"/>
        <w:rPr>
          <w:rFonts w:cs="Times New Roman"/>
          <w:b/>
          <w:bCs/>
          <w:color w:val="auto"/>
          <w:szCs w:val="28"/>
          <w:lang w:val="ru-RU" w:eastAsia="ru-RU"/>
        </w:rPr>
      </w:pPr>
    </w:p>
    <w:p w:rsidR="003F7D29" w:rsidRDefault="003F7D29">
      <w:pPr>
        <w:pStyle w:val="a3"/>
        <w:spacing w:after="0" w:line="360" w:lineRule="auto"/>
        <w:ind w:firstLine="709"/>
        <w:jc w:val="both"/>
        <w:rPr>
          <w:rFonts w:ascii="Arial" w:hAnsi="Arial"/>
          <w:b/>
          <w:bCs/>
        </w:rPr>
      </w:pPr>
      <w:r>
        <w:rPr>
          <w:rFonts w:ascii="Arial" w:hAnsi="Arial" w:cs="Times New Roman"/>
          <w:b/>
          <w:bCs/>
          <w:color w:val="auto"/>
          <w:szCs w:val="28"/>
          <w:lang w:val="ru-RU" w:eastAsia="ru-RU"/>
        </w:rPr>
        <w:t>Статья 6. Федеральный государственный контроль (надзор) в области безопасного использования и содержания опасных технических устройств зданий и сооружений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 xml:space="preserve">1. Федеральный государственный контроль (надзор) федеральный государственный контроль (надзор) в области безопасного использования и содержания опасных технических устройств зданий и сооружений осуществляется </w:t>
      </w:r>
      <w:r>
        <w:rPr>
          <w:rFonts w:ascii="Arial" w:hAnsi="Arial"/>
          <w:lang w:val="ru-RU"/>
        </w:rPr>
        <w:t xml:space="preserve">в соответствии с положением </w:t>
      </w:r>
      <w:r>
        <w:rPr>
          <w:rFonts w:ascii="Arial" w:hAnsi="Arial"/>
        </w:rPr>
        <w:t>о виде контроля, утверждаемым Правительством Российской Федерации.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 xml:space="preserve">2. </w:t>
      </w:r>
      <w:r>
        <w:rPr>
          <w:rFonts w:ascii="Arial" w:hAnsi="Arial"/>
          <w:lang w:val="ru-RU"/>
        </w:rPr>
        <w:t>Ф</w:t>
      </w:r>
      <w:r>
        <w:rPr>
          <w:rFonts w:ascii="Arial" w:hAnsi="Arial"/>
        </w:rPr>
        <w:t>едеральный государственный контроль (надзор) в области безопасного использования и содержания опасных технических устройств зданий и сооружений осуществляется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1) федеральным органом исполнительной власти, уполномоченным Правительством Российской Федерации;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 xml:space="preserve">2) на объектах (в организациях), подведомственных федеральным органам исполнительной власти в сфере обороны, обеспечения безопасности, </w:t>
      </w:r>
      <w:r>
        <w:rPr>
          <w:rFonts w:ascii="Arial" w:hAnsi="Arial"/>
        </w:rPr>
        <w:lastRenderedPageBreak/>
        <w:t xml:space="preserve">государственной охраны, внешней разведки, мобилизационной подготовки и мобилизации, исполнения наказаний, - подразделениями указанных федеральных органов исполнительной власти. 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  <w:lang w:val="ru-RU"/>
        </w:rPr>
        <w:t xml:space="preserve">3. </w:t>
      </w:r>
      <w:r>
        <w:rPr>
          <w:rFonts w:ascii="Arial" w:hAnsi="Arial"/>
        </w:rPr>
        <w:t>Предметом федерального государственного контроля (надзора) в области безопасного использования и содержания опасных технических устройств зданий и сооружений являются: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1) соблюдение юридическими лицами и индивидуальными предпринимателями, эксплуатирующими опасные технические устройства зданий и сооружений, требований об обязательном страховании, предусмотренных Федеральным</w:t>
      </w:r>
      <w:r>
        <w:rPr>
          <w:rFonts w:ascii="Arial" w:hAnsi="Arial"/>
          <w:lang w:val="ru-RU"/>
        </w:rPr>
        <w:t xml:space="preserve">законом </w:t>
      </w:r>
      <w:r>
        <w:rPr>
          <w:rFonts w:ascii="Arial" w:hAnsi="Arial"/>
        </w:rPr>
        <w:t>от 27 июля 2010 года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объекте";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 xml:space="preserve">2) соблюдение изготовителем, исполнителем (лицом, выполняющим функции иностранного изготовителя), продавцом обязательных требований, установленных техническими регламентами, предъявляемых к опасным техническим устройствам зданий и сооружений; 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3) соблюдение юридическими лицами и индивидуальными предпринимателями, эксплуатирующими опасные технические устройства зданий и сооружений, порядка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метрополитенах, установленного в соответствии с</w:t>
      </w:r>
      <w:r>
        <w:rPr>
          <w:rFonts w:ascii="Arial" w:hAnsi="Arial"/>
          <w:lang w:val="ru-RU"/>
        </w:rPr>
        <w:t xml:space="preserve">частью 10 статьи 55.24 </w:t>
      </w:r>
      <w:r>
        <w:rPr>
          <w:rFonts w:ascii="Arial" w:hAnsi="Arial"/>
        </w:rPr>
        <w:t>Градостроительного кодекса Российской Федерации.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3. Организация и осуществление федерального контроля регулируются Федеральным законом от 31 июля 2020 года N 248-ФЗ "О государственном контроле (надзоре) и муниципальном контроле в Российской Федерации".</w:t>
      </w:r>
    </w:p>
    <w:p w:rsidR="003F7D29" w:rsidRDefault="003F7D29">
      <w:pPr>
        <w:pStyle w:val="a3"/>
        <w:spacing w:after="0" w:line="360" w:lineRule="auto"/>
        <w:ind w:firstLine="540"/>
        <w:jc w:val="both"/>
      </w:pPr>
      <w:r>
        <w:rPr>
          <w:rFonts w:ascii="Arial" w:hAnsi="Arial"/>
          <w:lang w:val="ru-RU"/>
        </w:rPr>
        <w:t xml:space="preserve">4. </w:t>
      </w:r>
      <w:r>
        <w:rPr>
          <w:rFonts w:ascii="Arial" w:hAnsi="Arial"/>
        </w:rPr>
        <w:t xml:space="preserve">Положение о федеральном государственном контроле (надзоре) в области безопасного использования и содержания опасных технических устройств зданий и сооружений утверждается Правительством Российской Федерации. В положении о федеральном государственном контроле (надзоре) в области безопасного использования и содержания опасных технических устройств зданий и сооружений указываются в том числе наименование и структурные элементы технического регламента, оценка соблюдения требований которого осуществляется в рамках федерального государственного контроля (надзора) в области безопасного использования и содержания опасных технических устройств зданий и сооружений, </w:t>
      </w:r>
      <w:r>
        <w:rPr>
          <w:rFonts w:ascii="Arial" w:hAnsi="Arial"/>
        </w:rPr>
        <w:lastRenderedPageBreak/>
        <w:t>а также виды продукции, являющиеся объектами федерального государственного контроля (надзора) в области безопасного использования и содержания опасных технических устройств зданий и сооружений.</w:t>
      </w:r>
    </w:p>
    <w:p w:rsidR="003F7D29" w:rsidRDefault="003F7D29">
      <w:pPr>
        <w:pStyle w:val="a3"/>
        <w:spacing w:after="0" w:line="360" w:lineRule="auto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 xml:space="preserve">5. При осуществлении федерального государственного контроля (надзора) в области безопасного использования и содержания опасных технических устройств зданий и сооружений </w:t>
      </w:r>
      <w:r>
        <w:rPr>
          <w:rFonts w:ascii="Arial" w:hAnsi="Arial"/>
          <w:lang w:val="ru-RU"/>
        </w:rPr>
        <w:t xml:space="preserve">проводятся </w:t>
      </w:r>
      <w:r>
        <w:rPr>
          <w:rFonts w:ascii="Arial" w:hAnsi="Arial"/>
        </w:rPr>
        <w:t>плановые контрольные (надзорные) мероприятия.</w:t>
      </w:r>
    </w:p>
    <w:p w:rsidR="003F7D29" w:rsidRDefault="003F7D29">
      <w:pPr>
        <w:spacing w:line="360" w:lineRule="auto"/>
        <w:ind w:firstLine="709"/>
        <w:jc w:val="both"/>
        <w:rPr>
          <w:rFonts w:cs="Times New Roman"/>
          <w:b/>
          <w:bCs/>
          <w:color w:val="auto"/>
          <w:szCs w:val="28"/>
          <w:lang w:val="ru-RU" w:eastAsia="ru-RU"/>
        </w:rPr>
      </w:pP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 w:cs="Times New Roman"/>
          <w:b/>
          <w:bCs/>
          <w:color w:val="auto"/>
          <w:szCs w:val="28"/>
          <w:lang w:val="ru-RU" w:eastAsia="ru-RU"/>
        </w:rPr>
        <w:t xml:space="preserve">Статья 7. </w:t>
      </w:r>
      <w:r>
        <w:rPr>
          <w:rFonts w:ascii="Arial" w:hAnsi="Arial" w:cs="Times New Roman"/>
          <w:b/>
          <w:bCs/>
          <w:szCs w:val="28"/>
          <w:lang w:val="ru-RU" w:eastAsia="ru-RU"/>
        </w:rPr>
        <w:t>Саморегулирование в области технического обслуживания лифтового и диспет</w:t>
      </w:r>
      <w:r>
        <w:rPr>
          <w:rFonts w:ascii="Arial" w:hAnsi="Arial" w:cs="Times New Roman"/>
          <w:b/>
          <w:bCs/>
          <w:color w:val="auto"/>
          <w:szCs w:val="28"/>
          <w:lang w:val="ru-RU" w:eastAsia="ru-RU"/>
        </w:rPr>
        <w:t>черского оборудования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 w:cs="Times New Roman"/>
          <w:color w:val="auto"/>
          <w:szCs w:val="28"/>
          <w:lang w:val="ru-RU" w:eastAsia="ru-RU"/>
        </w:rPr>
        <w:t>1. Основными целями саморегулируемых организаций в области технического обслуживания лифтового и диспетчерского оборудования являются: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 w:cs="Times New Roman"/>
          <w:color w:val="auto"/>
          <w:szCs w:val="28"/>
          <w:lang w:val="ru-RU" w:eastAsia="ru-RU"/>
        </w:rPr>
        <w:t>1) предупреждение причинения вреда жизни или здоровью физических лиц, имуществу физических или юриди</w:t>
      </w:r>
      <w:r>
        <w:rPr>
          <w:rFonts w:ascii="Arial" w:hAnsi="Arial"/>
        </w:rPr>
        <w:t>ческих лиц, государственному или муниципальному имуществу, окружающей среде, жизни или здоровью животных и растений, объектам культурного наследия (памятникам истории и культуры) народов Российской Федерации (далее - вред) вследствие недостатков работ, которые оказывают влияние на безопасное использование лифтового и диспетчерского оборудования и выполняются членами саморегулируемых организаций;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2) повышение качества выполнения работ по техническому обслуживанию лифтового и диспетчерского оборудования;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 обеспечение исполнения членами саморегулируемых организаций обязательств по договорам подряда на выполнение работ по техническому обслуживанию лифтового и диспетчерского оборудования, заключенным с использованием конкурентных способов определения поставщиков (подрядчиков, исполнителей)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 (далее - с использованием конкурентных способов заключения договоров).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2. Содержанием деятельности саморегулируемой организации в области технического обслуживания лифтового и диспетчерского оборудования являются разработка и утверждение документов, предусмотренных настоящей статьей, а </w:t>
      </w:r>
      <w:r>
        <w:rPr>
          <w:rFonts w:ascii="Arial" w:hAnsi="Arial"/>
        </w:rPr>
        <w:lastRenderedPageBreak/>
        <w:t>также контроль за соблюдением членами такой саморегулируемой организации требований этих документов.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3. Некоммерческая организация вправе приобрести статус саморегулируемой организации, основанной на членстве лиц, выполняющих техническое обслуживание лифтового и диспетчерского оборудования, при условии соответствия некоммерческой организации следующим требованиям: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1) объединение в составе некоммерческой организации в качестве ее членов не менее чем ста индивидуальных предпринимателей и (или) юридических лиц, выполняющих техническое обслуживание лифтового и диспетчерского оборудования;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2) наличие у некоммерческой организации компенсационного фонда возмещения вреда, сформированного в размере, установленном настоящей статьей;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 наличие у некоммерческой организации стандартов саморегулируемой организации и внутренних документов, разработка и утверждение которых саморегулируемой организацией в соответствии с настоящей статьей.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4. Некоммерческая организация до внесения сведений о ней в государственный реестр саморегулируемых организаций обязана разработать и утвердить документы, предусмотренные законодательством Российской Федерации о некоммерческих организациях и Федеральным законом "О саморегулируемых организациях", а также следующие внутренние документы саморегулируемой организации: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1) о компенсационном фонде возмещения вреда;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2) о реестре членов саморегулируемой организации;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 о процедуре рассмотрения жалоб на действия (бездействие) членов саморегулируемой организации и иных обращений, поступивших в саморегулируемую организацию;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4) о проведении саморегулируемой организацией  анализа деятельности своих членов на основании информации, представляемой ими в форме отчетов;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5) о членстве в саморегулируемой организации, в том числе о требованиях к членам саморегулируемой организации, о размере, порядке расчета и уплаты вступительного взноса, членских взносов.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5. Саморегулируемой организацией могут быть разработаны и утверждены внутренние документы: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1) о страховании членами саморегулируемой организации риска гражданской ответственности, которая может наступить в случае причинения вреда вследствие </w:t>
      </w:r>
      <w:r>
        <w:rPr>
          <w:rFonts w:ascii="Arial" w:hAnsi="Arial"/>
        </w:rPr>
        <w:lastRenderedPageBreak/>
        <w:t>недостатков работ, которые оказывают влияние на безопасное использование лифтового и диспетчерского оборудования, об условиях такого страхования;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2) иные внутренние документы.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6. Квалификационные стандарты саморегулируемой организации устанавливаются в соответствии </w:t>
      </w:r>
      <w:r>
        <w:rPr>
          <w:rFonts w:ascii="Arial" w:hAnsi="Arial" w:cs="Times New Roman"/>
          <w:color w:val="auto"/>
          <w:lang w:val="ru-RU" w:eastAsia="ru-RU"/>
        </w:rPr>
        <w:t xml:space="preserve">с нормативно-правовыми актами в сфере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 и </w:t>
      </w:r>
      <w:r>
        <w:rPr>
          <w:rFonts w:ascii="Arial" w:hAnsi="Arial"/>
        </w:rPr>
        <w:t>являются внутренними документами саморегулируемой организации.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7. Стандарты саморегулируемой организации и внутренние документы саморегулируемой организации утверждаются постоянно действующим коллегиальным органом управления саморегулируемой организации, за исключением внутренних документов, утверждение которых отнесено к исключительной компетенции общего собрания членов саморегулируемой организации. Стандарты саморегулируемой организации и внутренние документы саморегулируемой организации являются обязательными для всех ее членов, их специалистов и иных работников.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8. Порядок разработки стандартов саморегулируемой организации и внутренних документов саморегулируемой организации определяется саморегулируемой организацией самостоятельно с соблюдением требований, установленных настоящей статьей.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9. В члены саморегулируемой организации 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саморегулируемой организацией к своим членам, и уплаты такими лицами в полном объеме взносов в компенсационный фонд (компенсационные фонды) саморегулируемой организации, если иное не установлено настоящей статьей.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 w:cs="Times New Roman"/>
          <w:szCs w:val="28"/>
          <w:lang w:val="ru-RU" w:eastAsia="ru-RU"/>
        </w:rPr>
        <w:t>10.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 w:cs="Times New Roman"/>
          <w:szCs w:val="28"/>
          <w:lang w:val="ru-RU" w:eastAsia="ru-RU"/>
        </w:rPr>
        <w:t>1) заявление о приеме в члены саморегулируемой организации;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2) копия документа,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лица, копии учредительных документов (для </w:t>
      </w:r>
      <w:r>
        <w:rPr>
          <w:rFonts w:ascii="Arial" w:hAnsi="Arial"/>
        </w:rPr>
        <w:lastRenderedPageBreak/>
        <w:t>юридического лица),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(для иностранного юридического лица);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 документы, подтверждающие соответствие индивидуального предпринимателя или юридического лица требованиям, установленным саморегулируемой организацией к своим членам во внутренних документах саморегулируемой организации;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4) документы, подтверждающие наличие у индивидуального предпринимателя или юридического лица квалифицированного персонала в соответствии с требованиями, установленными Правительством Российской Федерации.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11. При приеме индивидуального предпринимателя или юридического лица в члены саморегулируемой организации саморегулируемая организация вправе запросить у саморегулируемой организации, членом которой индивидуальный предприниматель или юридическое лицо являлись ранее, документы и (или) информацию, касающиеся деятельности такого индивидуального предпринимателя или такого юридического лица, включая акты проверок его деятельности. Саморегулируемая организация, в которую поступил этот запрос о представлении документов и (или) информации, обязана представить соответствующие документы и (или) информацию в течение тридцати дней со дня поступления этого запроса.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12. В срок не более чем два месяца со дня получения документов, указанных в части 10 настоящей статьи, саморегулируемая организация осуществляет проверку индивидуального предпринимателя или юридического лица на соответствие требованиям, установленным саморегулируемой организацией к своим членам.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13. По результатам проверки, предусмотренной частью 12 настоящей статьи, саморегулируемая организация принимает одно из следующих решений: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1) о приеме индивидуального предпринимателя или юридического лица в члены саморегулируемой организации при условии уплаты взноса в компенсационный фонд возмещения вреда;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2) об отказе в приеме индивидуального предпринимателя или юридического лица в члены саморегулируемой организации с указанием причин такого отказа.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14.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1) несоответствие индивидуального предпринимателя или юридического лица требованиям, установленным саморегулируемой организацией к своим членам (за исключением случая, установленного подпунктом 3 настоящей части);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2) непредставление индивидуальным предпринимателем или юридическим лицом в полном объеме документов, предусмотренных частью 10 настоящей статьи;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 если индивидуальный предприниматель или юридическое лицо уже является членом саморегулируемой организации аналогичного вида.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15.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1) по вине индивидуального предпринимателя или юридического лица осуществлялись выплаты из компенсационного фонда возмещения вреда саморегулируемой организации, членом которой ранее являлись такой индивидуальный предприниматель или такое юридическое лицо;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2) совершение индивидуальным предпринимателем или юридическим лицом в течение одного года двух и более аналогичных административных правонарушений, допущенных при выполнении работ по техническому обслуживанию лифтового и диспетчерского оборудования;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 иным основаниям, установленным внутренними документами саморегулируемой организации.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16. В трехдневный срок с момента принятия одного из решений, указанных в части 13 настоящей статьи,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17. К исключительной компетенции общего собрания членов саморегулируемой организации относятся следующие вопросы: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1) утверждение устава саморегулируемой организации, внесение в него изменений;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2) избрание тайным голосованием членов постоянно действующего коллегиального органа управления саморегулируемой организации, досрочное прекращение полномочий указанного органа или досрочное прекращение полномочий отдельных его членов;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 избрание тайным голосованием руководителя постоянно действующего коллегиального органа управления саморегулируемой организации, досрочное прекращение полномочий такого руководителя;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4) установление размеров вступительного и регулярных членских взносов и порядка их уплаты;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5) установление размеров взносов в компенсационный фонд саморегулируемой организации;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6) установление правил размещения средств компенсационного фонда, определение возможных способов размещения средств компенсационного фонда саморегулируемой организации в кредитных организациях;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7) принятие решения об участии саморегулируемой организации в некоммерческих организациях, в том числе о вступлении в ассоциацию (союз) саморегулируемых организаций, торгово-промышленную палату, выходе из состава членов этих некоммерческих организаций;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8) принятие решения о реорганизации саморегулируемой организации в форме присоединения;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9) установление компетенции исполнительного органа саморегулируемой организации и порядка осуществления им руководства текущей деятельностью саморегулируемой организации;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10) принятие иных решений, которые в соответствии с настоящим Кодексом, Федеральным законом"О саморегулируемых организациях", другими федеральными законами и уставом саморегулируемой организации отнесены к исключительной компетенции общего собрания членов саморегулируемой организации.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18. Саморегулируемая организация осуществляет контроль за деятельностью своих членов в соответствии с Федеральным законом"О саморегулируемых организациях".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19. Саморегулируемая организация рассматривает жалобы на действия (бездействие) своих членов и иные обращения, поступившие в саморегулируемую организацию. Жалобы на действия (бездействие) членов саморегулируемой организации и иные обращения, поступившие в саморегулируемую организацию, подлежат рассмотрению саморегулируемой организацией в течение тридцати календарных дней со дня их поступления, если законодательством Российской Федерации не установлен иной срок. Саморегулируемая организация по результатам рассмотрения жалобы на действия (бездействие) своих членов, а также обращения, не являющегося жалобой, но требующего в соответствии с внутренними документами саморегулируемой организации рассмотрения, принимает соответствующее решение. Указанное решение или в случае, если принятие решения не требуется, ответ на обращение направляется лицу, направившему </w:t>
      </w:r>
      <w:r>
        <w:rPr>
          <w:rFonts w:ascii="Arial" w:hAnsi="Arial"/>
        </w:rPr>
        <w:lastRenderedPageBreak/>
        <w:t>жалобу или иное обращение, посредством почтового отправления по почтовому адресу, указанному в жалобе или ином обращении, либо в форме электронного документа по адресу электронной почты, указанному в жалобе или ином обращении.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20. Саморегулируемая организация в целях обеспечения имущественной ответственности членов саморегулируемой организации по обязательствам, возникшим вследствие причинения вреда личности или имуществу гражданина, имуществу юридического лица вследствие разрушения, повреждения лифтового и диспетчерского оборудования, формирует компенсационный фонд возмещения вреда.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21. Не допускается освобождение члена саморегулируемой организации от обязанности внесения взноса в компенсационный фонд возмещения вреда, в том числе за счет его требований к саморегулируемой организации. Не допускается уплата взноса (взносов) в компенсационный фонд (компенсационные фонды) саморегулируемой организации в рассрочку или иным способом, исключающим единовременную уплату указанного взноса (взносов), а также уплата взноса (взносов) третьими лицами, не являющимися членами такой саморегулируемой организации.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22. Средства компенсационного фонда возмещения вреда саморегулируемой организации размещаются на специальных банковских счетах, открытых в российских кредитных организациях, соответствующих требований, установленным Правительством Российской Федерации.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23. В единый реестр сведений о членах саморегулируемых организаций и их обязательствах включается информация о членах саморегулируемой организации, о лицах, прекративших членство в саморегулируемой организации, а также сведения об их обязательствах по договорам подряда на выполнение работ по техническому обслуживанию лифтового и диспетчерского оборудования.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24. Состав сведений, содержащихся в едином реестре о членах саморегулируемых организаций и их обязательствах, порядок формирования указанного реестра, порядок ведения указанного реестра, в том числе порядок включения в указанный реестр сведений, устанавливаются Правительством Российской Федерации.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25. Ведение государственного реестра саморегулируемых организаций осуществляется органом надзора за саморегулируемыми организациями. В государственный реестр саморегулируемых организаций вносятся следующие сведения в отношении каждой саморегулируемой организации: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1) наименование, адрес (место нахождения) и номер контактного телефона саморегулируемой организации;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2) вид саморегулируемой организации;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 сведения о размере сформированного саморегулируемой организацией компенсационного фонда возмещения вреда на дату включения в реестр таких сведений;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4) сведения о документах (их реквизитах), разработанных и утвержденных саморегулируемой организацией в соответствии с настоящей статьей.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26. Сведения, содержащиеся в государственном реестре саморегулируемых организаций, подлежат размещению на официальном сайте органа надзора за саморегулируемыми организациями в сети "Интернет" и должны быть доступны для ознакомления без взимания платы.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27. Федеральный государственный надзор за деятельностью саморегулируемых организаций осуществляется уполномоченным федеральным органом исполнительной власти (далее - орган надзора за саморегулируемыми организациями) в соответствии с Федеральным законом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проверок, установленных настоящей статьей.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28. Предметом федерального государственного надзора является соблюдение саморегулируемой организацией требований к саморегулируемым организациям и их деятельности, установленных настоящим Кодексом, другими федеральными законами.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29. Плановая проверка деятельности саморегулируемой организации проводится в соответствии с планом, утвержденным органом надзора за саморегулируемыми организациями. Данный план не требует согласования и утверждается органом надзора за саморегулируемыми организациями самостоятельно.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30. Основанием для проведения внеплановой проверки является: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1) истечение срока исполнения саморегулируемой организацией выданного органом надзора за саморегулируемыми организациями предписания об устранении выявленного нарушения требований законодательства Российской Федерации;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2) поступление в орган надзора за саморегулируемыми организациями обращений и заявлений граждан, в том числе индивидуальных предпринимателей, </w:t>
      </w:r>
      <w:r>
        <w:rPr>
          <w:rFonts w:ascii="Arial" w:hAnsi="Arial"/>
        </w:rPr>
        <w:lastRenderedPageBreak/>
        <w:t>юридических лиц, информации от органов государственной власти (должностных лиц органа надзора за саморегулируемыми организациями), органов местного самоуправления, из средств массовой информации о фактах: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а) совершения саморегулируемой организацией и ее должностными лицами действий (бездействия), нарушающих требования настоящего Кодекса, других федеральных законов и права членов саморегулируемой организации; 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 w:cs="Times New Roman"/>
          <w:szCs w:val="28"/>
          <w:lang w:val="ru-RU" w:eastAsia="ru-RU"/>
        </w:rPr>
        <w:t xml:space="preserve">б) неисполнения саморегулируемой организацией обязательств о возмещении вреда, причиненного третьим лицам в результате действий (бездействия) членов саморегулируемой организации; 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в) неисполнения или ненадлежащего исполнения саморегулируемой организацией полномочий по контролю за деятельностью своих членов, выявленных органом надзора за саморегулируемыми организациями при рассмотрении документов, представляемых саморегулируемыми организациями в установленном законодательством Российской Федерации порядке;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 наличие приказа (распоряжения) руководителя (заместителя руководителя) органа надзора за саморегулируемыми организациями о проведении внеплановой проверки,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31. </w:t>
      </w:r>
      <w:bookmarkStart w:id="2" w:name="p281"/>
      <w:bookmarkEnd w:id="2"/>
      <w:r>
        <w:rPr>
          <w:rFonts w:ascii="Arial" w:hAnsi="Arial"/>
        </w:rPr>
        <w:t>При выявлении нарушений, указанных в части 30 настоящей статьи, орган надзора за саморегулируемыми организациями выдает предписание саморегулируемой организации об устранении выявленных нарушений.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bookmarkStart w:id="3" w:name="p301"/>
      <w:bookmarkEnd w:id="3"/>
      <w:r>
        <w:rPr>
          <w:rFonts w:ascii="Arial" w:hAnsi="Arial" w:cs="Times New Roman"/>
          <w:szCs w:val="28"/>
          <w:lang w:val="ru-RU" w:eastAsia="ru-RU"/>
        </w:rPr>
        <w:t>32. В случае неисполнения указанного в части 31 настоящей статьи предписания в установленный им срок орган надзора за саморегулируемыми организациями вправе обратиться в суд с требованием об исключении сведений о саморегулируемой организации из государственного реестра саморегулируемых организаций.</w:t>
      </w:r>
    </w:p>
    <w:p w:rsidR="003F7D29" w:rsidRDefault="003F7D29">
      <w:pPr>
        <w:spacing w:line="360" w:lineRule="auto"/>
        <w:ind w:firstLine="709"/>
        <w:jc w:val="both"/>
        <w:rPr>
          <w:rFonts w:cs="Times New Roman"/>
          <w:szCs w:val="28"/>
          <w:lang w:val="ru-RU" w:eastAsia="ru-RU"/>
        </w:rPr>
      </w:pP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  <w:b/>
          <w:lang w:val="ru-RU"/>
        </w:rPr>
        <w:t xml:space="preserve">Статья 8. </w:t>
      </w:r>
      <w:r>
        <w:rPr>
          <w:rFonts w:ascii="Arial" w:hAnsi="Arial"/>
          <w:b/>
          <w:bCs/>
          <w:lang w:val="ru-RU"/>
        </w:rPr>
        <w:t>О внесении изменения в статью 24 Федерального закона"О контрактной системе в сфере закупок товаров, работ, услуг для обеспечения государственных и муниципальных нужд"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Внести в </w:t>
      </w:r>
      <w:r>
        <w:rPr>
          <w:rFonts w:ascii="Arial" w:hAnsi="Arial"/>
          <w:lang w:val="ru-RU"/>
        </w:rPr>
        <w:t xml:space="preserve">статью 24 Федерального закона </w:t>
      </w:r>
      <w:r>
        <w:rPr>
          <w:rFonts w:ascii="Arial" w:hAnsi="Arial"/>
        </w:rPr>
        <w:t xml:space="preserve">от 5 апреля 2013 года N 44-ФЗ "О контрактной системе в сфере закупок товаров, работ, услуг для обеспечения </w:t>
      </w:r>
      <w:r>
        <w:rPr>
          <w:rFonts w:ascii="Arial" w:hAnsi="Arial"/>
        </w:rPr>
        <w:lastRenderedPageBreak/>
        <w:t xml:space="preserve">государственных и муниципальных нужд" (Собрание законодательства Российской Федерации, 2013, N 14, ст. 1652; N 27, ст. 3480; N 52, ст. 6961; 2014, N 23, ст. 2925; N 30, ст. 4225; N 48, ст. 6637; N 49, ст. 6925; 2015, N 1, ст. 11, 51, 72; N 10, ст. 1393, 1418; N 14, ст. 2022; N 27, ст. 4001; N 29, ст. 4342, 4346, 4353, 4375; 2016, N 1, ст. 10, 89; N 11, ст. 1493; N 15, ст. 2058, 2066; N 23, ст. 3291; N 26, ст. 3872, 3890; N 27, ст. 4199, 4247, 4253, 4254, 4298; 2017, N 1, ст. 15, 30, 41; N 9, ст. 1277; N 14, ст. 1995, 2004; N 18, ст. 2660; N 24, ст. 3475, 3477; N 31, ст. 4747, 4760, 4780, 4816; 2018, N 1, ст. 59, 87, 88, 90; N 18, ст. 2578; N 27, ст. 3957; N 31, ст. 4856, 4861; N 32, ст. 5104; N 45, ст. 6848; N 53, ст. 8428, 8438, 8444; 2019, N 14, ст. 1463; N 18, ст. 2193 - 2195; N 26, ст. 3317, 3318; N 52, ст. 7767, 7787; 2020, N 9, ст. 1119; N 14, ст. 2028, 2037; N 17, ст. 2702; N 24, ст. 3754; N 31, ст. 5008; N 50, ст. 8074; N 52, ст. 8581, 8582; 2021, N 1, ст. 33, 40, 78; N 9, ст. 1467; N 18, ст. 3061) следующие изменения: 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  <w:lang w:val="ru-RU"/>
        </w:rPr>
        <w:t>дополнить пунктом 8.1 следующего содержания: «8.1. Закупки работ по м</w:t>
      </w:r>
      <w:r>
        <w:rPr>
          <w:rFonts w:ascii="Arial" w:hAnsi="Arial" w:cs="Times New Roman"/>
          <w:szCs w:val="28"/>
          <w:lang w:val="ru-RU" w:eastAsia="ru-RU"/>
        </w:rPr>
        <w:t xml:space="preserve">онтажу, техническому обслуживанию и ремонту опасных технических устройств зданий и сооружений </w:t>
      </w:r>
      <w:r>
        <w:rPr>
          <w:rFonts w:ascii="Arial" w:hAnsi="Arial"/>
          <w:lang w:val="ru-RU"/>
        </w:rPr>
        <w:t>не осуществляются путем проведения аукционов.</w:t>
      </w:r>
    </w:p>
    <w:p w:rsidR="003F7D29" w:rsidRDefault="003F7D29">
      <w:pPr>
        <w:spacing w:line="360" w:lineRule="auto"/>
        <w:ind w:firstLine="709"/>
        <w:jc w:val="both"/>
        <w:rPr>
          <w:lang w:val="ru-RU"/>
        </w:rPr>
      </w:pP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  <w:b/>
          <w:lang w:val="ru-RU"/>
        </w:rPr>
        <w:t xml:space="preserve">Статья 9. </w:t>
      </w:r>
      <w:r>
        <w:rPr>
          <w:rFonts w:ascii="Arial" w:hAnsi="Arial"/>
          <w:b/>
        </w:rPr>
        <w:t>Вступление в силу настоящего Федерального закона</w:t>
      </w:r>
    </w:p>
    <w:p w:rsidR="003F7D29" w:rsidRDefault="003F7D29">
      <w:pPr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Настоящий Федеральный закон вступает в силу по истечении </w:t>
      </w:r>
      <w:r>
        <w:rPr>
          <w:rFonts w:ascii="Arial" w:hAnsi="Arial"/>
          <w:lang w:val="ru-RU"/>
        </w:rPr>
        <w:t xml:space="preserve">девяноста дней </w:t>
      </w:r>
      <w:r>
        <w:rPr>
          <w:rFonts w:ascii="Arial" w:hAnsi="Arial"/>
        </w:rPr>
        <w:t xml:space="preserve">после дня его официального опубликования. </w:t>
      </w:r>
    </w:p>
    <w:p w:rsidR="003F7D29" w:rsidRDefault="003F7D29">
      <w:pPr>
        <w:pStyle w:val="a3"/>
        <w:spacing w:before="165" w:line="285" w:lineRule="atLeast"/>
        <w:jc w:val="right"/>
        <w:rPr>
          <w:rFonts w:ascii="Arial" w:hAnsi="Arial"/>
        </w:rPr>
      </w:pPr>
    </w:p>
    <w:p w:rsidR="003F7D29" w:rsidRDefault="003F7D29">
      <w:pPr>
        <w:pStyle w:val="a3"/>
        <w:spacing w:before="165" w:line="285" w:lineRule="atLeast"/>
        <w:jc w:val="right"/>
        <w:rPr>
          <w:rFonts w:ascii="Arial" w:hAnsi="Arial"/>
        </w:rPr>
      </w:pPr>
      <w:r>
        <w:rPr>
          <w:rFonts w:ascii="Arial" w:hAnsi="Arial"/>
        </w:rPr>
        <w:t>Президент</w:t>
      </w:r>
    </w:p>
    <w:p w:rsidR="003F7D29" w:rsidRDefault="003F7D29">
      <w:pPr>
        <w:pStyle w:val="a3"/>
        <w:spacing w:line="285" w:lineRule="atLeast"/>
        <w:jc w:val="right"/>
        <w:rPr>
          <w:rFonts w:ascii="Arial" w:hAnsi="Arial"/>
        </w:rPr>
      </w:pPr>
      <w:r>
        <w:rPr>
          <w:rFonts w:ascii="Arial" w:hAnsi="Arial"/>
        </w:rPr>
        <w:t xml:space="preserve">Российской Федерации </w:t>
      </w:r>
    </w:p>
    <w:p w:rsidR="003F7D29" w:rsidRDefault="003F7D29">
      <w:pPr>
        <w:pStyle w:val="a3"/>
        <w:spacing w:line="285" w:lineRule="atLeast"/>
        <w:jc w:val="right"/>
        <w:rPr>
          <w:rFonts w:ascii="Arial" w:hAnsi="Arial"/>
        </w:rPr>
      </w:pPr>
      <w:r>
        <w:rPr>
          <w:rFonts w:ascii="Arial" w:hAnsi="Arial"/>
        </w:rPr>
        <w:t xml:space="preserve">В.ПУТИН </w:t>
      </w:r>
    </w:p>
    <w:p w:rsidR="003F7D29" w:rsidRDefault="003F7D29">
      <w:pPr>
        <w:spacing w:line="360" w:lineRule="auto"/>
        <w:ind w:firstLine="709"/>
        <w:jc w:val="both"/>
      </w:pPr>
    </w:p>
    <w:sectPr w:rsidR="003F7D29" w:rsidSect="002A7DF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134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DF2"/>
    <w:rsid w:val="002A7DF2"/>
    <w:rsid w:val="003F7D29"/>
    <w:rsid w:val="004D4D49"/>
    <w:rsid w:val="00ED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imes New Roman" w:hAnsi="Liberation Serif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DF2"/>
    <w:pPr>
      <w:widowControl w:val="0"/>
      <w:suppressAutoHyphens/>
    </w:pPr>
    <w:rPr>
      <w:rFonts w:cs="Tahoma"/>
      <w:color w:val="000000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2A7DF2"/>
    <w:rPr>
      <w:color w:val="000080"/>
      <w:u w:val="single"/>
    </w:rPr>
  </w:style>
  <w:style w:type="paragraph" w:styleId="a3">
    <w:name w:val="Body Text"/>
    <w:basedOn w:val="a"/>
    <w:link w:val="a4"/>
    <w:uiPriority w:val="99"/>
    <w:rsid w:val="002A7DF2"/>
    <w:pPr>
      <w:spacing w:after="283" w:line="276" w:lineRule="auto"/>
    </w:pPr>
  </w:style>
  <w:style w:type="character" w:customStyle="1" w:styleId="a4">
    <w:name w:val="Основной текст Знак"/>
    <w:basedOn w:val="a0"/>
    <w:link w:val="a3"/>
    <w:uiPriority w:val="99"/>
    <w:semiHidden/>
    <w:rsid w:val="00F31B3F"/>
    <w:rPr>
      <w:rFonts w:cs="Tahoma"/>
      <w:color w:val="000000"/>
      <w:sz w:val="24"/>
      <w:szCs w:val="24"/>
      <w:lang w:val="en-US" w:eastAsia="en-US"/>
    </w:rPr>
  </w:style>
  <w:style w:type="paragraph" w:customStyle="1" w:styleId="a5">
    <w:name w:val="Содержимое таблицы"/>
    <w:basedOn w:val="a"/>
    <w:qFormat/>
    <w:rsid w:val="002A7DF2"/>
    <w:pPr>
      <w:suppressLineNumbers/>
    </w:pPr>
  </w:style>
  <w:style w:type="paragraph" w:customStyle="1" w:styleId="a6">
    <w:name w:val="Заголовок таблицы"/>
    <w:basedOn w:val="a5"/>
    <w:qFormat/>
    <w:rsid w:val="002A7DF2"/>
    <w:pPr>
      <w:jc w:val="center"/>
    </w:pPr>
    <w:rPr>
      <w:b/>
      <w:bCs/>
    </w:rPr>
  </w:style>
  <w:style w:type="paragraph" w:styleId="a7">
    <w:name w:val="No Spacing"/>
    <w:uiPriority w:val="1"/>
    <w:qFormat/>
    <w:rsid w:val="002A7DF2"/>
    <w:pPr>
      <w:suppressAutoHyphens/>
    </w:pPr>
    <w:rPr>
      <w:rFonts w:ascii="Times New Roman" w:hAnsi="Times New Roman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imes New Roman" w:hAnsi="Liberation Serif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DF2"/>
    <w:pPr>
      <w:widowControl w:val="0"/>
      <w:suppressAutoHyphens/>
    </w:pPr>
    <w:rPr>
      <w:rFonts w:cs="Tahoma"/>
      <w:color w:val="000000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2A7DF2"/>
    <w:rPr>
      <w:color w:val="000080"/>
      <w:u w:val="single"/>
    </w:rPr>
  </w:style>
  <w:style w:type="paragraph" w:styleId="a3">
    <w:name w:val="Body Text"/>
    <w:basedOn w:val="a"/>
    <w:link w:val="a4"/>
    <w:uiPriority w:val="99"/>
    <w:rsid w:val="002A7DF2"/>
    <w:pPr>
      <w:spacing w:after="283" w:line="276" w:lineRule="auto"/>
    </w:pPr>
  </w:style>
  <w:style w:type="character" w:customStyle="1" w:styleId="a4">
    <w:name w:val="Основной текст Знак"/>
    <w:basedOn w:val="a0"/>
    <w:link w:val="a3"/>
    <w:uiPriority w:val="99"/>
    <w:semiHidden/>
    <w:rsid w:val="00F31B3F"/>
    <w:rPr>
      <w:rFonts w:cs="Tahoma"/>
      <w:color w:val="000000"/>
      <w:sz w:val="24"/>
      <w:szCs w:val="24"/>
      <w:lang w:val="en-US" w:eastAsia="en-US"/>
    </w:rPr>
  </w:style>
  <w:style w:type="paragraph" w:customStyle="1" w:styleId="a5">
    <w:name w:val="Содержимое таблицы"/>
    <w:basedOn w:val="a"/>
    <w:qFormat/>
    <w:rsid w:val="002A7DF2"/>
    <w:pPr>
      <w:suppressLineNumbers/>
    </w:pPr>
  </w:style>
  <w:style w:type="paragraph" w:customStyle="1" w:styleId="a6">
    <w:name w:val="Заголовок таблицы"/>
    <w:basedOn w:val="a5"/>
    <w:qFormat/>
    <w:rsid w:val="002A7DF2"/>
    <w:pPr>
      <w:jc w:val="center"/>
    </w:pPr>
    <w:rPr>
      <w:b/>
      <w:bCs/>
    </w:rPr>
  </w:style>
  <w:style w:type="paragraph" w:styleId="a7">
    <w:name w:val="No Spacing"/>
    <w:uiPriority w:val="1"/>
    <w:qFormat/>
    <w:rsid w:val="002A7DF2"/>
    <w:pPr>
      <w:suppressAutoHyphens/>
    </w:pPr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48774&amp;dst=100011" TargetMode="External"/><Relationship Id="rId5" Type="http://schemas.openxmlformats.org/officeDocument/2006/relationships/hyperlink" Target="https://login.consultant.ru/link/?req=doc&amp;base=LAW&amp;n=448771&amp;dst=1000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4262</Words>
  <Characters>28006</Characters>
  <Application>Microsoft Office Word</Application>
  <DocSecurity>0</DocSecurity>
  <Lines>538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32209</CharactersWithSpaces>
  <SharedDoc>false</SharedDoc>
  <HLinks>
    <vt:vector size="12" baseType="variant">
      <vt:variant>
        <vt:i4>4063348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https://login.consultant.ru/link/?req=doc&amp;base=LAW&amp;n=448774&amp;dst=100011</vt:lpwstr>
      </vt:variant>
      <vt:variant>
        <vt:lpwstr/>
      </vt:variant>
      <vt:variant>
        <vt:i4>3735664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https://login.consultant.ru/link/?req=doc&amp;base=LAW&amp;n=448771&amp;dst=100006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2</cp:revision>
  <dcterms:created xsi:type="dcterms:W3CDTF">2025-12-26T14:46:00Z</dcterms:created>
  <dcterms:modified xsi:type="dcterms:W3CDTF">2025-12-26T14:46:00Z</dcterms:modified>
</cp:coreProperties>
</file>